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450F4">
      <w:pPr>
        <w:wordWrap w:val="0"/>
        <w:spacing w:line="500" w:lineRule="exact"/>
        <w:jc w:val="center"/>
        <w:outlineLvl w:val="0"/>
        <w:rPr>
          <w:rFonts w:hint="eastAsia" w:ascii="仿宋" w:hAnsi="仿宋" w:eastAsia="仿宋" w:cs="方正小标宋简体"/>
          <w:sz w:val="36"/>
          <w:szCs w:val="36"/>
        </w:rPr>
      </w:pPr>
      <w:r>
        <w:rPr>
          <w:rFonts w:hint="eastAsia" w:ascii="仿宋" w:hAnsi="仿宋" w:eastAsia="仿宋" w:cs="方正小标宋简体"/>
          <w:b/>
          <w:bCs/>
          <w:sz w:val="36"/>
          <w:szCs w:val="36"/>
        </w:rPr>
        <w:t>四川水发建设有限公司</w:t>
      </w:r>
    </w:p>
    <w:p w14:paraId="7AA258E9">
      <w:pPr>
        <w:spacing w:line="500" w:lineRule="exact"/>
        <w:jc w:val="center"/>
        <w:outlineLvl w:val="0"/>
        <w:rPr>
          <w:rFonts w:hint="eastAsia" w:ascii="仿宋" w:hAnsi="仿宋" w:eastAsia="仿宋" w:cs="方正小标宋简体"/>
          <w:b/>
          <w:bCs/>
          <w:sz w:val="36"/>
          <w:szCs w:val="36"/>
        </w:rPr>
      </w:pPr>
      <w:r>
        <w:rPr>
          <w:rFonts w:hint="eastAsia" w:ascii="仿宋" w:hAnsi="仿宋" w:eastAsia="仿宋" w:cs="方正小标宋简体"/>
          <w:b/>
          <w:bCs/>
          <w:sz w:val="36"/>
          <w:szCs w:val="36"/>
        </w:rPr>
        <w:t>西昌市东河水库工程管理系统自动信息化、安全监测、 管理中心站设备及安装工程专业</w:t>
      </w:r>
      <w:r>
        <w:rPr>
          <w:rFonts w:ascii="仿宋" w:hAnsi="仿宋" w:eastAsia="仿宋" w:cs="方正小标宋简体"/>
          <w:b/>
          <w:bCs/>
          <w:sz w:val="36"/>
          <w:szCs w:val="36"/>
        </w:rPr>
        <w:t>分包</w:t>
      </w:r>
    </w:p>
    <w:p w14:paraId="4139CC4C">
      <w:pPr>
        <w:spacing w:line="500" w:lineRule="exact"/>
        <w:jc w:val="center"/>
        <w:outlineLvl w:val="0"/>
        <w:rPr>
          <w:rFonts w:hint="eastAsia" w:ascii="仿宋" w:hAnsi="仿宋" w:eastAsia="仿宋" w:cs="方正小标宋简体"/>
          <w:b/>
          <w:bCs/>
          <w:sz w:val="36"/>
          <w:szCs w:val="36"/>
        </w:rPr>
      </w:pPr>
      <w:r>
        <w:rPr>
          <w:rFonts w:hint="eastAsia" w:ascii="仿宋" w:hAnsi="仿宋" w:eastAsia="仿宋" w:cs="方正小标宋简体"/>
          <w:b/>
          <w:bCs/>
          <w:sz w:val="36"/>
          <w:szCs w:val="36"/>
        </w:rPr>
        <w:t>比选评审办法</w:t>
      </w:r>
    </w:p>
    <w:p w14:paraId="615F4E82">
      <w:pPr>
        <w:pStyle w:val="5"/>
        <w:ind w:firstLine="560"/>
        <w:rPr>
          <w:rFonts w:hint="eastAsia"/>
        </w:rPr>
      </w:pPr>
    </w:p>
    <w:p w14:paraId="2053B555">
      <w:pPr>
        <w:wordWrap w:val="0"/>
        <w:spacing w:line="520" w:lineRule="exact"/>
        <w:ind w:firstLine="560" w:firstLineChars="200"/>
        <w:rPr>
          <w:rFonts w:hint="eastAsia" w:ascii="仿宋" w:hAnsi="仿宋" w:eastAsia="仿宋" w:cs="仿宋"/>
          <w:bCs/>
          <w:sz w:val="28"/>
          <w:szCs w:val="28"/>
        </w:rPr>
      </w:pPr>
      <w:bookmarkStart w:id="0" w:name="_Hlk55982914"/>
      <w:r>
        <w:rPr>
          <w:rFonts w:hint="eastAsia" w:ascii="仿宋" w:hAnsi="仿宋" w:eastAsia="仿宋" w:cs="仿宋"/>
          <w:bCs/>
          <w:sz w:val="28"/>
          <w:szCs w:val="28"/>
        </w:rPr>
        <w:t>为规范公司采购工作，根据公司《分包管理制度》规定，制定本办法。</w:t>
      </w:r>
      <w:bookmarkEnd w:id="0"/>
    </w:p>
    <w:p w14:paraId="46604B21">
      <w:pPr>
        <w:wordWrap w:val="0"/>
        <w:spacing w:line="520" w:lineRule="exact"/>
        <w:outlineLvl w:val="0"/>
        <w:rPr>
          <w:rFonts w:hint="eastAsia" w:ascii="仿宋" w:hAnsi="仿宋" w:eastAsia="仿宋" w:cs="仿宋"/>
          <w:b/>
          <w:sz w:val="28"/>
          <w:szCs w:val="28"/>
        </w:rPr>
      </w:pPr>
      <w:r>
        <w:rPr>
          <w:rFonts w:hint="eastAsia" w:ascii="仿宋" w:hAnsi="仿宋" w:eastAsia="仿宋" w:cs="仿宋"/>
          <w:b/>
          <w:sz w:val="28"/>
          <w:szCs w:val="28"/>
        </w:rPr>
        <w:t>一、评审方法</w:t>
      </w:r>
    </w:p>
    <w:p w14:paraId="772F153D">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本次评审采用综合评审法对响应文件进行评审。</w:t>
      </w:r>
    </w:p>
    <w:p w14:paraId="644EC6B6">
      <w:pPr>
        <w:wordWrap w:val="0"/>
        <w:spacing w:line="520" w:lineRule="exact"/>
        <w:outlineLvl w:val="0"/>
        <w:rPr>
          <w:rFonts w:hint="eastAsia" w:ascii="仿宋" w:hAnsi="仿宋" w:eastAsia="仿宋" w:cs="仿宋"/>
          <w:b/>
          <w:sz w:val="28"/>
          <w:szCs w:val="28"/>
        </w:rPr>
      </w:pPr>
      <w:r>
        <w:rPr>
          <w:rFonts w:hint="eastAsia" w:ascii="仿宋" w:hAnsi="仿宋" w:eastAsia="仿宋" w:cs="仿宋"/>
          <w:b/>
          <w:sz w:val="28"/>
          <w:szCs w:val="28"/>
        </w:rPr>
        <w:t>二、评审原则</w:t>
      </w:r>
    </w:p>
    <w:p w14:paraId="3D2A1034">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评审遵循公平、公正、诚实信用、综合评分的原则。</w:t>
      </w:r>
    </w:p>
    <w:p w14:paraId="11BC7DCD">
      <w:pPr>
        <w:wordWrap w:val="0"/>
        <w:spacing w:line="520" w:lineRule="exact"/>
        <w:outlineLvl w:val="0"/>
        <w:rPr>
          <w:rFonts w:hint="eastAsia" w:ascii="仿宋" w:hAnsi="仿宋" w:eastAsia="仿宋" w:cs="仿宋"/>
          <w:b/>
          <w:sz w:val="28"/>
          <w:szCs w:val="28"/>
        </w:rPr>
      </w:pPr>
      <w:r>
        <w:rPr>
          <w:rFonts w:hint="eastAsia" w:ascii="仿宋" w:hAnsi="仿宋" w:eastAsia="仿宋" w:cs="仿宋"/>
          <w:b/>
          <w:sz w:val="28"/>
          <w:szCs w:val="28"/>
        </w:rPr>
        <w:t>三、评审组织及服务</w:t>
      </w:r>
    </w:p>
    <w:p w14:paraId="0732CBF6">
      <w:pPr>
        <w:wordWrap w:val="0"/>
        <w:spacing w:line="520" w:lineRule="exact"/>
        <w:ind w:firstLine="560" w:firstLineChars="200"/>
        <w:rPr>
          <w:rFonts w:hint="eastAsia" w:ascii="楷体" w:hAnsi="楷体" w:eastAsia="楷体" w:cs="楷体"/>
          <w:bCs/>
          <w:sz w:val="28"/>
          <w:szCs w:val="28"/>
        </w:rPr>
      </w:pPr>
      <w:r>
        <w:rPr>
          <w:rFonts w:hint="eastAsia" w:ascii="楷体" w:hAnsi="楷体" w:eastAsia="楷体" w:cs="楷体"/>
          <w:bCs/>
          <w:sz w:val="28"/>
          <w:szCs w:val="28"/>
        </w:rPr>
        <w:t>（一）为做好评审工作，成立评审小组和工作小组。</w:t>
      </w:r>
    </w:p>
    <w:p w14:paraId="42C74F78">
      <w:pPr>
        <w:wordWrap w:val="0"/>
        <w:spacing w:line="520" w:lineRule="exact"/>
        <w:ind w:firstLine="560" w:firstLineChars="200"/>
        <w:rPr>
          <w:rFonts w:hint="eastAsia" w:ascii="楷体" w:hAnsi="楷体" w:eastAsia="楷体" w:cs="楷体"/>
          <w:bCs/>
          <w:sz w:val="28"/>
          <w:szCs w:val="28"/>
        </w:rPr>
      </w:pPr>
      <w:r>
        <w:rPr>
          <w:rFonts w:hint="eastAsia" w:ascii="楷体" w:hAnsi="楷体" w:eastAsia="楷体" w:cs="楷体"/>
          <w:bCs/>
          <w:sz w:val="28"/>
          <w:szCs w:val="28"/>
        </w:rPr>
        <w:t>（二）评审小组</w:t>
      </w:r>
    </w:p>
    <w:p w14:paraId="734083C9">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1、评审小组由比选人依规组建，评审小组成员由比选人代表及熟悉相关业务的有关技术、经济等方面的专家组成，其中技术、经济等方面的专家及技术人员不得少于3人；</w:t>
      </w:r>
    </w:p>
    <w:p w14:paraId="0D0CA405">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2、根据公司管理制度，本次劳务分包由分公司实施，评审小组人员为 5 人，机电安装分公司工程管理部负责人或部门副职1人（由分管工程管理部领导指定），其余4人在监督人员监督下，从分公司评标（审）委员会名单中抽选组成。</w:t>
      </w:r>
    </w:p>
    <w:p w14:paraId="38FCF9CE">
      <w:pPr>
        <w:wordWrap w:val="0"/>
        <w:spacing w:line="520" w:lineRule="exact"/>
        <w:ind w:firstLine="560" w:firstLineChars="200"/>
        <w:outlineLvl w:val="1"/>
        <w:rPr>
          <w:rFonts w:hint="eastAsia" w:ascii="仿宋" w:hAnsi="仿宋" w:eastAsia="仿宋" w:cs="仿宋"/>
          <w:bCs/>
          <w:sz w:val="28"/>
          <w:szCs w:val="28"/>
        </w:rPr>
      </w:pPr>
      <w:r>
        <w:rPr>
          <w:rFonts w:hint="eastAsia" w:ascii="楷体" w:hAnsi="楷体" w:eastAsia="楷体" w:cs="楷体"/>
          <w:bCs/>
          <w:sz w:val="28"/>
          <w:szCs w:val="28"/>
        </w:rPr>
        <w:t>（三）评审小组成员职责</w:t>
      </w:r>
    </w:p>
    <w:p w14:paraId="5C083132">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1、按照比选文件规定，审查响应文件是否符合比选文件要求并作出评价；</w:t>
      </w:r>
    </w:p>
    <w:p w14:paraId="41543171">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2、要求参选人对响应文件有关事项作出解释或者澄清；</w:t>
      </w:r>
    </w:p>
    <w:p w14:paraId="55F99391">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3、提交书面评审报告；</w:t>
      </w:r>
    </w:p>
    <w:p w14:paraId="629F0182">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4、推荐成交候选人名单；</w:t>
      </w:r>
    </w:p>
    <w:p w14:paraId="0909BE48">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5、向公司报告非法干预评审工作的行为。</w:t>
      </w:r>
    </w:p>
    <w:p w14:paraId="55D592C4">
      <w:pPr>
        <w:wordWrap w:val="0"/>
        <w:spacing w:line="520" w:lineRule="exact"/>
        <w:ind w:firstLine="560" w:firstLineChars="200"/>
        <w:outlineLvl w:val="1"/>
        <w:rPr>
          <w:rFonts w:hint="eastAsia" w:ascii="楷体" w:hAnsi="楷体" w:eastAsia="楷体" w:cs="楷体"/>
          <w:bCs/>
          <w:sz w:val="28"/>
          <w:szCs w:val="28"/>
        </w:rPr>
      </w:pPr>
      <w:r>
        <w:rPr>
          <w:rFonts w:hint="eastAsia" w:ascii="楷体" w:hAnsi="楷体" w:eastAsia="楷体" w:cs="楷体"/>
          <w:bCs/>
          <w:sz w:val="28"/>
          <w:szCs w:val="28"/>
        </w:rPr>
        <w:t>（四）工作小组</w:t>
      </w:r>
    </w:p>
    <w:p w14:paraId="7D6C5565">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1、由承办部门委派工作人员组成，在评审期间为评审小组服务；</w:t>
      </w:r>
    </w:p>
    <w:p w14:paraId="40150EFC">
      <w:pPr>
        <w:wordWrap w:val="0"/>
        <w:spacing w:line="520" w:lineRule="exact"/>
        <w:ind w:firstLine="560" w:firstLineChars="200"/>
        <w:outlineLvl w:val="2"/>
        <w:rPr>
          <w:rFonts w:hint="eastAsia" w:ascii="仿宋" w:hAnsi="仿宋" w:eastAsia="仿宋" w:cs="仿宋"/>
          <w:bCs/>
          <w:sz w:val="28"/>
          <w:szCs w:val="28"/>
        </w:rPr>
      </w:pPr>
      <w:r>
        <w:rPr>
          <w:rFonts w:hint="eastAsia" w:ascii="仿宋" w:hAnsi="仿宋" w:eastAsia="仿宋" w:cs="仿宋"/>
          <w:bCs/>
          <w:sz w:val="28"/>
          <w:szCs w:val="28"/>
        </w:rPr>
        <w:t>2、接受评审小组指派进行基础数据摘录汇总、对比等工作。</w:t>
      </w:r>
    </w:p>
    <w:p w14:paraId="02ECA6CD">
      <w:pPr>
        <w:wordWrap w:val="0"/>
        <w:spacing w:line="520" w:lineRule="exact"/>
        <w:outlineLvl w:val="0"/>
        <w:rPr>
          <w:rFonts w:hint="eastAsia" w:ascii="仿宋" w:hAnsi="仿宋" w:eastAsia="仿宋" w:cs="仿宋"/>
          <w:b/>
          <w:sz w:val="28"/>
          <w:szCs w:val="28"/>
        </w:rPr>
      </w:pPr>
      <w:r>
        <w:rPr>
          <w:rFonts w:hint="eastAsia" w:ascii="仿宋" w:hAnsi="仿宋" w:eastAsia="仿宋" w:cs="仿宋"/>
          <w:b/>
          <w:sz w:val="28"/>
          <w:szCs w:val="28"/>
        </w:rPr>
        <w:t>四、监督机构</w:t>
      </w:r>
    </w:p>
    <w:p w14:paraId="4BC7C45D">
      <w:pPr>
        <w:widowControl/>
        <w:spacing w:line="520" w:lineRule="exact"/>
        <w:ind w:firstLine="560" w:firstLineChars="200"/>
        <w:rPr>
          <w:rFonts w:hint="eastAsia" w:ascii="仿宋" w:hAnsi="仿宋" w:eastAsia="仿宋" w:cs="仿宋"/>
          <w:bCs/>
          <w:sz w:val="28"/>
          <w:szCs w:val="28"/>
        </w:rPr>
      </w:pPr>
      <w:r>
        <w:rPr>
          <w:rFonts w:hint="eastAsia" w:ascii="仿宋" w:hAnsi="仿宋" w:eastAsia="仿宋" w:cs="仿宋"/>
          <w:kern w:val="0"/>
          <w:sz w:val="28"/>
          <w:szCs w:val="28"/>
          <w:lang w:bidi="ar"/>
        </w:rPr>
        <w:t>分公司纪检监察部门负责比选活动过程监督。评标监督人员由机电安装分公司纪检委员担任。对违反本制度规定的，应立即制止或纠正；对涉嫌违规违纪的，及时移交有关部门严肃查处，涉嫌违法犯罪的，移送司法机关处理。</w:t>
      </w:r>
    </w:p>
    <w:p w14:paraId="175D0779">
      <w:pPr>
        <w:spacing w:line="520" w:lineRule="exact"/>
        <w:outlineLvl w:val="0"/>
        <w:rPr>
          <w:rFonts w:ascii="仿宋" w:hAnsi="仿宋" w:eastAsia="仿宋" w:cs="仿宋"/>
          <w:b/>
          <w:sz w:val="28"/>
          <w:szCs w:val="28"/>
        </w:rPr>
      </w:pPr>
      <w:r>
        <w:rPr>
          <w:rFonts w:hint="eastAsia" w:ascii="仿宋" w:hAnsi="仿宋" w:eastAsia="仿宋" w:cs="仿宋"/>
          <w:b/>
          <w:sz w:val="28"/>
          <w:szCs w:val="28"/>
        </w:rPr>
        <w:t>五、评审及比选流程</w:t>
      </w:r>
    </w:p>
    <w:p w14:paraId="49C4FEFA">
      <w:pPr>
        <w:spacing w:line="520" w:lineRule="exact"/>
        <w:ind w:firstLine="560" w:firstLineChars="200"/>
        <w:outlineLvl w:val="0"/>
        <w:rPr>
          <w:rFonts w:hint="eastAsia" w:ascii="仿宋" w:hAnsi="仿宋" w:eastAsia="仿宋" w:cs="仿宋"/>
          <w:kern w:val="0"/>
          <w:sz w:val="28"/>
          <w:szCs w:val="28"/>
          <w:lang w:bidi="ar"/>
        </w:rPr>
      </w:pPr>
      <w:r>
        <w:rPr>
          <w:rFonts w:hint="eastAsia" w:ascii="仿宋" w:hAnsi="仿宋" w:eastAsia="仿宋" w:cs="仿宋"/>
          <w:kern w:val="0"/>
          <w:sz w:val="28"/>
          <w:szCs w:val="28"/>
          <w:lang w:bidi="ar"/>
        </w:rPr>
        <w:t>本次比选采用现场及视频连线方式进行。</w:t>
      </w:r>
    </w:p>
    <w:p w14:paraId="25768979">
      <w:pPr>
        <w:wordWrap w:val="0"/>
        <w:spacing w:line="520" w:lineRule="exact"/>
        <w:ind w:firstLine="560" w:firstLineChars="200"/>
        <w:outlineLvl w:val="1"/>
        <w:rPr>
          <w:rFonts w:hint="eastAsia" w:ascii="楷体" w:hAnsi="楷体" w:eastAsia="楷体" w:cs="楷体"/>
          <w:bCs/>
          <w:sz w:val="28"/>
          <w:szCs w:val="28"/>
        </w:rPr>
      </w:pPr>
      <w:r>
        <w:rPr>
          <w:rFonts w:hint="eastAsia" w:ascii="楷体" w:hAnsi="楷体" w:eastAsia="楷体" w:cs="楷体"/>
          <w:bCs/>
          <w:sz w:val="28"/>
          <w:szCs w:val="28"/>
        </w:rPr>
        <w:t>（一）资格审查</w:t>
      </w:r>
    </w:p>
    <w:p w14:paraId="4F84B9D4">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w:t>
      </w:r>
      <w:r>
        <w:rPr>
          <w:rFonts w:hint="eastAsia" w:ascii="仿宋" w:hAnsi="仿宋" w:eastAsia="仿宋" w:cs="仿宋"/>
          <w:sz w:val="28"/>
          <w:szCs w:val="28"/>
        </w:rPr>
        <w:t>对所有响应文件进行资格审查，</w:t>
      </w:r>
      <w:r>
        <w:rPr>
          <w:rFonts w:hint="eastAsia" w:ascii="仿宋" w:hAnsi="仿宋" w:eastAsia="仿宋" w:cs="仿宋"/>
          <w:bCs/>
          <w:sz w:val="28"/>
          <w:szCs w:val="28"/>
        </w:rPr>
        <w:t>有与以下条件要求不一致的视为资格审查未通过。</w:t>
      </w:r>
    </w:p>
    <w:tbl>
      <w:tblPr>
        <w:tblStyle w:val="16"/>
        <w:tblpPr w:leftFromText="180" w:rightFromText="180" w:vertAnchor="text" w:horzAnchor="page" w:tblpX="1424" w:tblpY="273"/>
        <w:tblOverlap w:val="never"/>
        <w:tblW w:w="891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7"/>
        <w:gridCol w:w="4488"/>
        <w:gridCol w:w="3754"/>
      </w:tblGrid>
      <w:tr w14:paraId="2C598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6" w:hRule="atLeast"/>
        </w:trPr>
        <w:tc>
          <w:tcPr>
            <w:tcW w:w="677" w:type="dxa"/>
            <w:vAlign w:val="center"/>
          </w:tcPr>
          <w:p w14:paraId="31D9CFCF">
            <w:pPr>
              <w:pStyle w:val="25"/>
              <w:rPr>
                <w:rFonts w:ascii="仿宋" w:hAnsi="仿宋" w:eastAsia="仿宋" w:cs="仿宋"/>
              </w:rPr>
            </w:pPr>
            <w:r>
              <w:rPr>
                <w:rFonts w:ascii="仿宋" w:hAnsi="仿宋" w:eastAsia="仿宋" w:cs="仿宋"/>
              </w:rPr>
              <w:t>序号</w:t>
            </w:r>
          </w:p>
        </w:tc>
        <w:tc>
          <w:tcPr>
            <w:tcW w:w="4488" w:type="dxa"/>
            <w:vAlign w:val="center"/>
          </w:tcPr>
          <w:p w14:paraId="0C061138">
            <w:pPr>
              <w:pStyle w:val="25"/>
              <w:jc w:val="center"/>
              <w:rPr>
                <w:rFonts w:ascii="仿宋" w:hAnsi="仿宋" w:eastAsia="仿宋" w:cs="仿宋"/>
                <w:lang w:eastAsia="zh-CN"/>
              </w:rPr>
            </w:pPr>
            <w:r>
              <w:rPr>
                <w:rFonts w:ascii="仿宋" w:hAnsi="仿宋" w:eastAsia="仿宋" w:cs="仿宋"/>
              </w:rPr>
              <w:t>资格审查</w:t>
            </w:r>
            <w:r>
              <w:rPr>
                <w:rFonts w:ascii="仿宋" w:hAnsi="仿宋" w:eastAsia="仿宋" w:cs="仿宋"/>
                <w:lang w:eastAsia="zh-CN"/>
              </w:rPr>
              <w:t>项目</w:t>
            </w:r>
          </w:p>
        </w:tc>
        <w:tc>
          <w:tcPr>
            <w:tcW w:w="3754" w:type="dxa"/>
            <w:vAlign w:val="center"/>
          </w:tcPr>
          <w:p w14:paraId="5FCF3CBA">
            <w:pPr>
              <w:pStyle w:val="25"/>
              <w:jc w:val="center"/>
              <w:rPr>
                <w:rFonts w:ascii="仿宋" w:hAnsi="仿宋" w:eastAsia="仿宋" w:cs="仿宋"/>
                <w:lang w:eastAsia="zh-CN"/>
              </w:rPr>
            </w:pPr>
            <w:r>
              <w:rPr>
                <w:rFonts w:ascii="仿宋" w:hAnsi="仿宋" w:eastAsia="仿宋" w:cs="仿宋"/>
                <w:lang w:eastAsia="zh-CN"/>
              </w:rPr>
              <w:t>证明材料/关联格式</w:t>
            </w:r>
          </w:p>
        </w:tc>
      </w:tr>
      <w:tr w14:paraId="5460C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7" w:type="dxa"/>
            <w:vAlign w:val="center"/>
          </w:tcPr>
          <w:p w14:paraId="0259F392">
            <w:pPr>
              <w:pStyle w:val="25"/>
              <w:spacing w:line="300" w:lineRule="exact"/>
              <w:jc w:val="center"/>
              <w:rPr>
                <w:rFonts w:ascii="仿宋" w:hAnsi="仿宋" w:eastAsia="仿宋" w:cs="仿宋"/>
              </w:rPr>
            </w:pPr>
            <w:r>
              <w:rPr>
                <w:rFonts w:ascii="仿宋" w:hAnsi="仿宋" w:eastAsia="仿宋" w:cs="仿宋"/>
              </w:rPr>
              <w:t>1</w:t>
            </w:r>
          </w:p>
        </w:tc>
        <w:tc>
          <w:tcPr>
            <w:tcW w:w="4488" w:type="dxa"/>
          </w:tcPr>
          <w:p w14:paraId="4FE1CDCD">
            <w:pPr>
              <w:pStyle w:val="25"/>
              <w:spacing w:line="300" w:lineRule="exact"/>
              <w:ind w:firstLine="400" w:firstLineChars="200"/>
              <w:rPr>
                <w:rFonts w:ascii="仿宋" w:hAnsi="仿宋" w:eastAsia="仿宋" w:cs="仿宋"/>
              </w:rPr>
            </w:pPr>
            <w:r>
              <w:rPr>
                <w:rFonts w:ascii="仿宋" w:hAnsi="仿宋" w:eastAsia="仿宋" w:cs="仿宋"/>
                <w:lang w:eastAsia="zh-CN"/>
              </w:rPr>
              <w:t>为</w:t>
            </w:r>
            <w:r>
              <w:rPr>
                <w:rFonts w:ascii="仿宋" w:hAnsi="仿宋" w:eastAsia="仿宋" w:cs="仿宋"/>
              </w:rPr>
              <w:t>依照中华人民共和国法律设立并在中华人民共和国境内登记注册的独立法人，营业执照</w:t>
            </w:r>
            <w:r>
              <w:rPr>
                <w:rFonts w:ascii="仿宋" w:hAnsi="仿宋" w:eastAsia="仿宋" w:cs="仿宋"/>
                <w:lang w:eastAsia="zh-CN"/>
              </w:rPr>
              <w:t>、资质证书、安全生产许可证</w:t>
            </w:r>
            <w:r>
              <w:rPr>
                <w:rFonts w:ascii="仿宋" w:hAnsi="仿宋" w:eastAsia="仿宋" w:cs="仿宋"/>
              </w:rPr>
              <w:t>且在有效期内</w:t>
            </w:r>
            <w:r>
              <w:rPr>
                <w:rFonts w:ascii="仿宋" w:hAnsi="仿宋" w:eastAsia="仿宋" w:cs="仿宋"/>
                <w:lang w:eastAsia="zh-CN"/>
              </w:rPr>
              <w:t>。</w:t>
            </w:r>
          </w:p>
        </w:tc>
        <w:tc>
          <w:tcPr>
            <w:tcW w:w="3754" w:type="dxa"/>
            <w:vAlign w:val="center"/>
          </w:tcPr>
          <w:p w14:paraId="24A1204C">
            <w:pPr>
              <w:pStyle w:val="25"/>
              <w:spacing w:line="300" w:lineRule="exact"/>
              <w:ind w:firstLine="400" w:firstLineChars="200"/>
              <w:rPr>
                <w:rFonts w:ascii="仿宋" w:hAnsi="仿宋" w:eastAsia="仿宋" w:cs="仿宋"/>
                <w:lang w:eastAsia="zh-CN"/>
              </w:rPr>
            </w:pPr>
            <w:r>
              <w:rPr>
                <w:rFonts w:ascii="仿宋" w:hAnsi="仿宋" w:eastAsia="仿宋" w:cs="仿宋"/>
              </w:rPr>
              <w:t>响应人需提供</w:t>
            </w:r>
            <w:r>
              <w:rPr>
                <w:rFonts w:ascii="仿宋" w:hAnsi="仿宋" w:eastAsia="仿宋" w:cs="仿宋"/>
                <w:lang w:eastAsia="zh-CN"/>
              </w:rPr>
              <w:t>有效的</w:t>
            </w:r>
            <w:r>
              <w:rPr>
                <w:rFonts w:ascii="仿宋" w:hAnsi="仿宋" w:eastAsia="仿宋" w:cs="仿宋"/>
              </w:rPr>
              <w:t>营业执照</w:t>
            </w:r>
            <w:r>
              <w:rPr>
                <w:rFonts w:ascii="仿宋" w:hAnsi="仿宋" w:eastAsia="仿宋" w:cs="仿宋"/>
                <w:lang w:eastAsia="zh-CN"/>
              </w:rPr>
              <w:t>、资质证书、</w:t>
            </w:r>
            <w:r>
              <w:rPr>
                <w:rFonts w:ascii="仿宋" w:hAnsi="仿宋" w:eastAsia="仿宋" w:cs="仿宋"/>
              </w:rPr>
              <w:t>安全生产许可证</w:t>
            </w:r>
            <w:r>
              <w:rPr>
                <w:rFonts w:ascii="仿宋" w:hAnsi="仿宋" w:eastAsia="仿宋" w:cs="仿宋"/>
                <w:lang w:eastAsia="zh-CN"/>
              </w:rPr>
              <w:t>等证明材料复印件，资质原件核查。</w:t>
            </w:r>
          </w:p>
        </w:tc>
      </w:tr>
      <w:tr w14:paraId="2AA28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9" w:hRule="atLeast"/>
        </w:trPr>
        <w:tc>
          <w:tcPr>
            <w:tcW w:w="677" w:type="dxa"/>
            <w:vAlign w:val="center"/>
          </w:tcPr>
          <w:p w14:paraId="1EC6C85F">
            <w:pPr>
              <w:pStyle w:val="25"/>
              <w:spacing w:line="300" w:lineRule="exact"/>
              <w:jc w:val="center"/>
              <w:rPr>
                <w:rFonts w:ascii="仿宋" w:hAnsi="仿宋" w:eastAsia="仿宋" w:cs="仿宋"/>
                <w:lang w:eastAsia="zh-CN"/>
              </w:rPr>
            </w:pPr>
            <w:r>
              <w:rPr>
                <w:rFonts w:ascii="仿宋" w:hAnsi="仿宋" w:eastAsia="仿宋" w:cs="仿宋"/>
                <w:lang w:eastAsia="zh-CN"/>
              </w:rPr>
              <w:t>2</w:t>
            </w:r>
          </w:p>
        </w:tc>
        <w:tc>
          <w:tcPr>
            <w:tcW w:w="4488" w:type="dxa"/>
          </w:tcPr>
          <w:p w14:paraId="4B01A95F">
            <w:pPr>
              <w:pStyle w:val="25"/>
              <w:spacing w:line="300" w:lineRule="exact"/>
              <w:ind w:firstLine="400" w:firstLineChars="200"/>
              <w:rPr>
                <w:rFonts w:ascii="仿宋" w:hAnsi="仿宋" w:eastAsia="仿宋" w:cs="仿宋"/>
                <w:color w:val="FF0000"/>
                <w:lang w:eastAsia="zh-CN"/>
              </w:rPr>
            </w:pPr>
          </w:p>
          <w:p w14:paraId="19CB7895">
            <w:pPr>
              <w:pStyle w:val="25"/>
              <w:spacing w:line="300" w:lineRule="exact"/>
              <w:ind w:firstLine="400" w:firstLineChars="200"/>
              <w:rPr>
                <w:rFonts w:ascii="仿宋" w:hAnsi="仿宋" w:eastAsia="仿宋" w:cs="仿宋"/>
                <w:color w:val="FF0000"/>
                <w:lang w:eastAsia="zh-CN"/>
              </w:rPr>
            </w:pPr>
            <w:r>
              <w:rPr>
                <w:rFonts w:ascii="仿宋" w:hAnsi="仿宋" w:eastAsia="仿宋" w:cs="仿宋"/>
                <w:lang w:eastAsia="zh-CN"/>
              </w:rPr>
              <w:t>具有与比选项目相类似的业绩。</w:t>
            </w:r>
          </w:p>
        </w:tc>
        <w:tc>
          <w:tcPr>
            <w:tcW w:w="3754" w:type="dxa"/>
            <w:vAlign w:val="center"/>
          </w:tcPr>
          <w:p w14:paraId="2DDDA227">
            <w:pPr>
              <w:pStyle w:val="25"/>
              <w:spacing w:line="300" w:lineRule="exact"/>
              <w:ind w:firstLine="400" w:firstLineChars="200"/>
              <w:rPr>
                <w:rFonts w:ascii="仿宋" w:hAnsi="仿宋" w:eastAsia="仿宋" w:cs="仿宋"/>
                <w:color w:val="FF0000"/>
                <w:lang w:eastAsia="zh-CN"/>
              </w:rPr>
            </w:pPr>
            <w:r>
              <w:rPr>
                <w:rFonts w:ascii="仿宋" w:hAnsi="仿宋" w:eastAsia="仿宋" w:cs="仿宋"/>
              </w:rPr>
              <w:t>响应人需提供</w:t>
            </w:r>
            <w:r>
              <w:rPr>
                <w:rFonts w:ascii="仿宋" w:hAnsi="仿宋" w:eastAsia="仿宋" w:cs="仿宋"/>
                <w:lang w:eastAsia="zh-CN"/>
              </w:rPr>
              <w:t>业绩证明材料，证明材料原件核查。</w:t>
            </w:r>
          </w:p>
        </w:tc>
      </w:tr>
      <w:tr w14:paraId="08AD6E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9" w:hRule="atLeast"/>
        </w:trPr>
        <w:tc>
          <w:tcPr>
            <w:tcW w:w="677" w:type="dxa"/>
            <w:vAlign w:val="center"/>
          </w:tcPr>
          <w:p w14:paraId="38AB5CDB">
            <w:pPr>
              <w:pStyle w:val="25"/>
              <w:spacing w:line="300" w:lineRule="exact"/>
              <w:jc w:val="center"/>
              <w:rPr>
                <w:rFonts w:ascii="仿宋" w:hAnsi="仿宋" w:eastAsia="仿宋" w:cs="仿宋"/>
                <w:lang w:eastAsia="zh-CN"/>
              </w:rPr>
            </w:pPr>
            <w:r>
              <w:rPr>
                <w:rFonts w:ascii="仿宋" w:hAnsi="仿宋" w:eastAsia="仿宋" w:cs="仿宋"/>
                <w:lang w:eastAsia="zh-CN"/>
              </w:rPr>
              <w:t>3</w:t>
            </w:r>
          </w:p>
        </w:tc>
        <w:tc>
          <w:tcPr>
            <w:tcW w:w="4488" w:type="dxa"/>
            <w:vAlign w:val="center"/>
          </w:tcPr>
          <w:p w14:paraId="21161886">
            <w:pPr>
              <w:tabs>
                <w:tab w:val="left" w:pos="6237"/>
              </w:tabs>
              <w:spacing w:line="300" w:lineRule="exact"/>
              <w:ind w:firstLine="400" w:firstLineChars="200"/>
              <w:rPr>
                <w:rFonts w:hint="eastAsia" w:ascii="仿宋" w:hAnsi="仿宋" w:eastAsia="仿宋" w:cs="仿宋"/>
              </w:rPr>
            </w:pPr>
            <w:r>
              <w:rPr>
                <w:rFonts w:hint="eastAsia" w:ascii="仿宋" w:hAnsi="仿宋" w:eastAsia="仿宋" w:cs="仿宋"/>
                <w:sz w:val="20"/>
                <w:szCs w:val="20"/>
              </w:rPr>
              <w:t>无骗取中选或严重违约问题、较大工程质量事故、重特大安全事故、恶意欺诈及瞒报安全事故等问题。</w:t>
            </w:r>
          </w:p>
        </w:tc>
        <w:tc>
          <w:tcPr>
            <w:tcW w:w="3754" w:type="dxa"/>
            <w:vAlign w:val="center"/>
          </w:tcPr>
          <w:p w14:paraId="67B793C9">
            <w:pPr>
              <w:pStyle w:val="25"/>
              <w:spacing w:line="300" w:lineRule="exact"/>
              <w:ind w:firstLine="400" w:firstLineChars="200"/>
              <w:rPr>
                <w:rFonts w:ascii="仿宋" w:hAnsi="仿宋" w:eastAsia="仿宋" w:cs="仿宋"/>
              </w:rPr>
            </w:pPr>
            <w:r>
              <w:rPr>
                <w:rFonts w:ascii="仿宋" w:hAnsi="仿宋" w:eastAsia="仿宋" w:cs="仿宋"/>
                <w:lang w:eastAsia="zh-CN"/>
              </w:rPr>
              <w:t>提供承诺函，查阅营业执照、响应文件。</w:t>
            </w:r>
          </w:p>
        </w:tc>
      </w:tr>
      <w:tr w14:paraId="00337F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7" w:type="dxa"/>
            <w:vAlign w:val="center"/>
          </w:tcPr>
          <w:p w14:paraId="006E13A3">
            <w:pPr>
              <w:pStyle w:val="25"/>
              <w:spacing w:line="300" w:lineRule="exact"/>
              <w:jc w:val="center"/>
              <w:rPr>
                <w:rFonts w:ascii="仿宋" w:hAnsi="仿宋" w:eastAsia="仿宋" w:cs="仿宋"/>
                <w:lang w:eastAsia="zh-CN"/>
              </w:rPr>
            </w:pPr>
            <w:r>
              <w:rPr>
                <w:rFonts w:ascii="仿宋" w:hAnsi="仿宋" w:eastAsia="仿宋" w:cs="仿宋"/>
                <w:lang w:eastAsia="zh-CN"/>
              </w:rPr>
              <w:t>4</w:t>
            </w:r>
          </w:p>
        </w:tc>
        <w:tc>
          <w:tcPr>
            <w:tcW w:w="4488" w:type="dxa"/>
          </w:tcPr>
          <w:p w14:paraId="19F41182">
            <w:pPr>
              <w:pStyle w:val="25"/>
              <w:spacing w:line="300" w:lineRule="exact"/>
              <w:ind w:firstLine="400" w:firstLineChars="200"/>
              <w:rPr>
                <w:rFonts w:ascii="仿宋" w:hAnsi="仿宋" w:eastAsia="仿宋" w:cs="仿宋"/>
                <w:lang w:eastAsia="zh-CN"/>
              </w:rPr>
            </w:pPr>
            <w:r>
              <w:rPr>
                <w:rFonts w:ascii="仿宋" w:hAnsi="仿宋" w:eastAsia="仿宋" w:cs="仿宋"/>
                <w:lang w:eastAsia="zh-CN"/>
              </w:rPr>
              <w:t>响应人不得被国家市场监督管理机关在全国企业信用信息公示系统（http://www.gsxt.gov.cn）和被人民法院在中国执行信息公开网（http://zxgk.court.gov.cn）中列入“失信人名单”（在比选期间尚未解除的）。</w:t>
            </w:r>
          </w:p>
        </w:tc>
        <w:tc>
          <w:tcPr>
            <w:tcW w:w="3754" w:type="dxa"/>
          </w:tcPr>
          <w:p w14:paraId="43507208">
            <w:pPr>
              <w:pStyle w:val="25"/>
              <w:spacing w:line="300" w:lineRule="exact"/>
              <w:ind w:firstLine="400" w:firstLineChars="200"/>
              <w:rPr>
                <w:rFonts w:ascii="仿宋" w:hAnsi="仿宋" w:eastAsia="仿宋" w:cs="仿宋"/>
                <w:lang w:eastAsia="zh-CN"/>
              </w:rPr>
            </w:pPr>
            <w:r>
              <w:rPr>
                <w:rFonts w:ascii="仿宋" w:hAnsi="仿宋" w:eastAsia="仿宋" w:cs="仿宋"/>
              </w:rPr>
              <w:t>响应人需</w:t>
            </w:r>
            <w:r>
              <w:rPr>
                <w:rFonts w:ascii="仿宋" w:hAnsi="仿宋" w:eastAsia="仿宋" w:cs="仿宋"/>
                <w:lang w:eastAsia="zh-CN"/>
              </w:rPr>
              <w:t>提供在</w:t>
            </w:r>
            <w:r>
              <w:rPr>
                <w:rFonts w:ascii="仿宋" w:hAnsi="仿宋" w:eastAsia="仿宋" w:cs="仿宋"/>
              </w:rPr>
              <w:t>全国企业信用信息公示系统（http://www.gsxt.gov.cn）和人民法院在中国执行信息公开网（http://zxgk.court.gov.cn）</w:t>
            </w:r>
            <w:r>
              <w:rPr>
                <w:rFonts w:ascii="仿宋" w:hAnsi="仿宋" w:eastAsia="仿宋" w:cs="仿宋"/>
                <w:lang w:eastAsia="zh-CN"/>
              </w:rPr>
              <w:t>的查询截图。</w:t>
            </w:r>
          </w:p>
        </w:tc>
      </w:tr>
      <w:tr w14:paraId="3B6DC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7" w:type="dxa"/>
            <w:vAlign w:val="center"/>
          </w:tcPr>
          <w:p w14:paraId="529CF0BB">
            <w:pPr>
              <w:pStyle w:val="25"/>
              <w:spacing w:line="300" w:lineRule="exact"/>
              <w:jc w:val="center"/>
              <w:rPr>
                <w:rFonts w:ascii="仿宋" w:hAnsi="仿宋" w:eastAsia="仿宋" w:cs="仿宋"/>
                <w:lang w:eastAsia="zh-CN"/>
              </w:rPr>
            </w:pPr>
            <w:r>
              <w:rPr>
                <w:rFonts w:ascii="仿宋" w:hAnsi="仿宋" w:eastAsia="仿宋" w:cs="仿宋"/>
                <w:lang w:eastAsia="zh-CN"/>
              </w:rPr>
              <w:t>5</w:t>
            </w:r>
          </w:p>
        </w:tc>
        <w:tc>
          <w:tcPr>
            <w:tcW w:w="4488" w:type="dxa"/>
          </w:tcPr>
          <w:p w14:paraId="69CC10D2">
            <w:pPr>
              <w:pStyle w:val="25"/>
              <w:spacing w:line="300" w:lineRule="exact"/>
              <w:ind w:firstLine="400" w:firstLineChars="200"/>
              <w:rPr>
                <w:rFonts w:ascii="仿宋" w:hAnsi="仿宋" w:eastAsia="仿宋" w:cs="仿宋"/>
              </w:rPr>
            </w:pPr>
            <w:r>
              <w:rPr>
                <w:rFonts w:ascii="仿宋" w:hAnsi="仿宋" w:eastAsia="仿宋" w:cs="仿宋"/>
                <w:lang w:eastAsia="zh-CN"/>
              </w:rPr>
              <w:t>近三年响应人在投标活动中不得有串通投标、骗取中标等处罚，通过“信用中国”（https://www.creditchina.gov.cn）查询。</w:t>
            </w:r>
          </w:p>
        </w:tc>
        <w:tc>
          <w:tcPr>
            <w:tcW w:w="3754" w:type="dxa"/>
          </w:tcPr>
          <w:p w14:paraId="54AE3D2D">
            <w:pPr>
              <w:pStyle w:val="25"/>
              <w:spacing w:line="300" w:lineRule="exact"/>
              <w:ind w:firstLine="400" w:firstLineChars="200"/>
              <w:rPr>
                <w:rFonts w:ascii="仿宋" w:hAnsi="仿宋" w:eastAsia="仿宋" w:cs="仿宋"/>
                <w:lang w:eastAsia="zh-CN"/>
              </w:rPr>
            </w:pPr>
            <w:r>
              <w:rPr>
                <w:rFonts w:ascii="仿宋" w:hAnsi="仿宋" w:eastAsia="仿宋" w:cs="仿宋"/>
                <w:lang w:eastAsia="zh-CN"/>
              </w:rPr>
              <w:t>响应人需提供在“信用中国”（https://www.creditchina.gov.cn）的查询截图。</w:t>
            </w:r>
          </w:p>
        </w:tc>
      </w:tr>
      <w:tr w14:paraId="4F470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7" w:type="dxa"/>
            <w:vAlign w:val="center"/>
          </w:tcPr>
          <w:p w14:paraId="7EAA084F">
            <w:pPr>
              <w:pStyle w:val="25"/>
              <w:spacing w:line="300" w:lineRule="exact"/>
              <w:jc w:val="center"/>
              <w:rPr>
                <w:rFonts w:ascii="仿宋" w:hAnsi="仿宋" w:eastAsia="仿宋" w:cs="仿宋"/>
                <w:lang w:eastAsia="zh-CN"/>
              </w:rPr>
            </w:pPr>
            <w:r>
              <w:rPr>
                <w:rFonts w:ascii="仿宋" w:hAnsi="仿宋" w:eastAsia="仿宋" w:cs="仿宋"/>
                <w:lang w:eastAsia="zh-CN"/>
              </w:rPr>
              <w:t>6</w:t>
            </w:r>
          </w:p>
        </w:tc>
        <w:tc>
          <w:tcPr>
            <w:tcW w:w="4488" w:type="dxa"/>
            <w:vAlign w:val="center"/>
          </w:tcPr>
          <w:p w14:paraId="5C0DC771">
            <w:pPr>
              <w:tabs>
                <w:tab w:val="left" w:pos="6237"/>
              </w:tabs>
              <w:spacing w:line="300" w:lineRule="exact"/>
              <w:ind w:firstLine="400" w:firstLineChars="200"/>
              <w:rPr>
                <w:rFonts w:hint="eastAsia" w:ascii="仿宋" w:hAnsi="仿宋" w:eastAsia="仿宋" w:cs="仿宋"/>
                <w:kern w:val="0"/>
                <w:sz w:val="20"/>
                <w:szCs w:val="20"/>
              </w:rPr>
            </w:pPr>
            <w:r>
              <w:rPr>
                <w:rFonts w:hint="eastAsia" w:ascii="仿宋" w:hAnsi="仿宋" w:eastAsia="仿宋" w:cs="仿宋"/>
                <w:sz w:val="20"/>
                <w:szCs w:val="20"/>
              </w:rPr>
              <w:t>法定代表人为同一人的多个响应人不得同时参加；</w:t>
            </w:r>
            <w:r>
              <w:rPr>
                <w:rFonts w:hint="eastAsia" w:ascii="仿宋" w:hAnsi="仿宋" w:eastAsia="仿宋" w:cs="仿宋"/>
                <w:szCs w:val="21"/>
              </w:rPr>
              <w:t>如有同时参加的，全部否决其参选资格；不接受联合体报价。</w:t>
            </w:r>
          </w:p>
        </w:tc>
        <w:tc>
          <w:tcPr>
            <w:tcW w:w="3754" w:type="dxa"/>
            <w:vAlign w:val="center"/>
          </w:tcPr>
          <w:p w14:paraId="17A926ED">
            <w:pPr>
              <w:pStyle w:val="25"/>
              <w:spacing w:line="300" w:lineRule="exact"/>
              <w:ind w:firstLine="400" w:firstLineChars="200"/>
              <w:rPr>
                <w:rFonts w:ascii="仿宋" w:hAnsi="仿宋" w:eastAsia="仿宋" w:cs="仿宋"/>
                <w:lang w:eastAsia="zh-CN"/>
              </w:rPr>
            </w:pPr>
            <w:r>
              <w:rPr>
                <w:rFonts w:ascii="仿宋" w:hAnsi="仿宋" w:eastAsia="仿宋" w:cs="仿宋"/>
                <w:lang w:eastAsia="zh-CN"/>
              </w:rPr>
              <w:t>提供承诺函，查阅营业执照、响应文件。</w:t>
            </w:r>
          </w:p>
        </w:tc>
      </w:tr>
    </w:tbl>
    <w:p w14:paraId="723D8F1D">
      <w:pPr>
        <w:wordWrap w:val="0"/>
        <w:spacing w:line="520" w:lineRule="exact"/>
        <w:ind w:firstLine="560" w:firstLineChars="200"/>
        <w:outlineLvl w:val="1"/>
        <w:rPr>
          <w:rFonts w:hint="eastAsia" w:ascii="仿宋" w:hAnsi="仿宋" w:eastAsia="仿宋" w:cs="仿宋"/>
          <w:b/>
          <w:sz w:val="28"/>
          <w:szCs w:val="28"/>
        </w:rPr>
      </w:pPr>
      <w:r>
        <w:rPr>
          <w:rFonts w:hint="eastAsia" w:ascii="仿宋" w:hAnsi="仿宋" w:eastAsia="仿宋" w:cs="仿宋"/>
          <w:bCs/>
          <w:sz w:val="28"/>
          <w:szCs w:val="28"/>
        </w:rPr>
        <w:t>2、算术错误修正</w:t>
      </w:r>
    </w:p>
    <w:p w14:paraId="3EA8528E">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2.1最终报价清单中有计算或汇总中的算术错误时，按以下原则修正：</w:t>
      </w:r>
    </w:p>
    <w:p w14:paraId="5A73F7B6">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（1）大写金额与小写金额不一致的，以大写金额为准；</w:t>
      </w:r>
    </w:p>
    <w:p w14:paraId="2DF2F110">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（2）总价金额与单价金额不一致的，以单价金额为准，但单价金额小数点有明显错误的除外；</w:t>
      </w:r>
    </w:p>
    <w:p w14:paraId="5C16B486">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（3）报价表中合计报价与分项报价的合价不一致的，以各分项报价的合价累计数为准；</w:t>
      </w:r>
    </w:p>
    <w:p w14:paraId="6E185DFB">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（4）如果分项报价中存在缺漏项，且缺漏项内容不属于实质性偏差的，则视为缺漏项内容的价格已包含在其他分项报价之中，经修正后补全缺漏的项目。</w:t>
      </w:r>
    </w:p>
    <w:p w14:paraId="37DA5634">
      <w:pPr>
        <w:numPr>
          <w:ilvl w:val="255"/>
          <w:numId w:val="0"/>
        </w:num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经修正后的最终报价，作为评审依据的最终总报价。</w:t>
      </w:r>
    </w:p>
    <w:p w14:paraId="4E29D1A5">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2.2评审小组按以上原则对报价进行修正，修正的价格经参选人书面确认后具有约束力。</w:t>
      </w:r>
    </w:p>
    <w:p w14:paraId="355C8F18">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2.3</w:t>
      </w:r>
      <w:r>
        <w:rPr>
          <w:rFonts w:hint="eastAsia" w:ascii="仿宋" w:hAnsi="仿宋" w:eastAsia="仿宋" w:cs="仿宋"/>
          <w:sz w:val="28"/>
          <w:szCs w:val="28"/>
        </w:rPr>
        <w:t>分值构成与评分标准</w:t>
      </w:r>
    </w:p>
    <w:tbl>
      <w:tblPr>
        <w:tblStyle w:val="16"/>
        <w:tblW w:w="957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06"/>
        <w:gridCol w:w="1092"/>
        <w:gridCol w:w="2552"/>
        <w:gridCol w:w="5328"/>
      </w:tblGrid>
      <w:tr w14:paraId="17AA9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4" w:hRule="atLeast"/>
        </w:trPr>
        <w:tc>
          <w:tcPr>
            <w:tcW w:w="1698" w:type="dxa"/>
            <w:gridSpan w:val="2"/>
            <w:tcBorders>
              <w:top w:val="single" w:color="auto" w:sz="2" w:space="0"/>
              <w:left w:val="single" w:color="auto" w:sz="2" w:space="0"/>
              <w:bottom w:val="single" w:color="auto" w:sz="2" w:space="0"/>
              <w:right w:val="single" w:color="auto" w:sz="2" w:space="0"/>
            </w:tcBorders>
            <w:vAlign w:val="center"/>
          </w:tcPr>
          <w:p w14:paraId="3AEA51A1">
            <w:pPr>
              <w:jc w:val="center"/>
              <w:rPr>
                <w:rFonts w:hint="eastAsia" w:ascii="仿宋" w:hAnsi="仿宋" w:eastAsia="仿宋" w:cs="仿宋_GB2312"/>
                <w:szCs w:val="21"/>
              </w:rPr>
            </w:pPr>
            <w:r>
              <w:rPr>
                <w:rFonts w:hint="eastAsia" w:ascii="仿宋" w:hAnsi="仿宋" w:eastAsia="仿宋" w:cs="仿宋_GB2312"/>
                <w:szCs w:val="21"/>
              </w:rPr>
              <w:t>1</w:t>
            </w:r>
          </w:p>
        </w:tc>
        <w:tc>
          <w:tcPr>
            <w:tcW w:w="2552" w:type="dxa"/>
            <w:tcBorders>
              <w:top w:val="single" w:color="auto" w:sz="2" w:space="0"/>
              <w:left w:val="single" w:color="auto" w:sz="2" w:space="0"/>
              <w:bottom w:val="single" w:color="auto" w:sz="2" w:space="0"/>
              <w:right w:val="single" w:color="auto" w:sz="2" w:space="0"/>
            </w:tcBorders>
            <w:vAlign w:val="center"/>
          </w:tcPr>
          <w:p w14:paraId="4A4A5305">
            <w:pPr>
              <w:rPr>
                <w:rFonts w:hint="eastAsia" w:ascii="仿宋" w:hAnsi="仿宋" w:eastAsia="仿宋" w:cs="仿宋_GB2312"/>
                <w:szCs w:val="21"/>
              </w:rPr>
            </w:pPr>
            <w:r>
              <w:rPr>
                <w:rFonts w:hint="eastAsia" w:ascii="仿宋" w:hAnsi="仿宋" w:eastAsia="仿宋" w:cs="仿宋_GB2312"/>
                <w:szCs w:val="21"/>
              </w:rPr>
              <w:t>分值构成与评分标准</w:t>
            </w:r>
          </w:p>
        </w:tc>
        <w:tc>
          <w:tcPr>
            <w:tcW w:w="5328" w:type="dxa"/>
            <w:tcBorders>
              <w:top w:val="single" w:color="auto" w:sz="2" w:space="0"/>
              <w:left w:val="single" w:color="auto" w:sz="2" w:space="0"/>
              <w:bottom w:val="single" w:color="auto" w:sz="2" w:space="0"/>
              <w:right w:val="single" w:color="auto" w:sz="2" w:space="0"/>
            </w:tcBorders>
            <w:vAlign w:val="center"/>
          </w:tcPr>
          <w:p w14:paraId="205FD63D">
            <w:pPr>
              <w:rPr>
                <w:rFonts w:hint="eastAsia" w:ascii="仿宋" w:hAnsi="仿宋" w:eastAsia="仿宋" w:cs="仿宋_GB2312"/>
                <w:szCs w:val="21"/>
              </w:rPr>
            </w:pPr>
          </w:p>
        </w:tc>
      </w:tr>
      <w:tr w14:paraId="5BC12F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86" w:hRule="atLeast"/>
        </w:trPr>
        <w:tc>
          <w:tcPr>
            <w:tcW w:w="1698" w:type="dxa"/>
            <w:gridSpan w:val="2"/>
            <w:tcBorders>
              <w:top w:val="single" w:color="auto" w:sz="2" w:space="0"/>
              <w:left w:val="single" w:color="auto" w:sz="2" w:space="0"/>
              <w:bottom w:val="single" w:color="auto" w:sz="2" w:space="0"/>
              <w:right w:val="single" w:color="auto" w:sz="2" w:space="0"/>
            </w:tcBorders>
            <w:vAlign w:val="center"/>
          </w:tcPr>
          <w:p w14:paraId="06CDF94B">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1.1</w:t>
            </w:r>
          </w:p>
        </w:tc>
        <w:tc>
          <w:tcPr>
            <w:tcW w:w="2552" w:type="dxa"/>
            <w:tcBorders>
              <w:top w:val="single" w:color="auto" w:sz="2" w:space="0"/>
              <w:left w:val="single" w:color="auto" w:sz="2" w:space="0"/>
              <w:bottom w:val="single" w:color="auto" w:sz="2" w:space="0"/>
              <w:right w:val="single" w:color="auto" w:sz="2" w:space="0"/>
            </w:tcBorders>
            <w:vAlign w:val="center"/>
          </w:tcPr>
          <w:p w14:paraId="26E17948">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综合评分计算方法</w:t>
            </w:r>
          </w:p>
        </w:tc>
        <w:tc>
          <w:tcPr>
            <w:tcW w:w="5328" w:type="dxa"/>
            <w:tcBorders>
              <w:top w:val="single" w:color="auto" w:sz="2" w:space="0"/>
              <w:left w:val="single" w:color="auto" w:sz="2" w:space="0"/>
              <w:bottom w:val="single" w:color="auto" w:sz="2" w:space="0"/>
              <w:right w:val="single" w:color="auto" w:sz="2" w:space="0"/>
            </w:tcBorders>
            <w:vAlign w:val="center"/>
          </w:tcPr>
          <w:p w14:paraId="32F67A20">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综合评分满分100分，根据以下评分项得分按权重比例进行加权计算,即：</w:t>
            </w:r>
          </w:p>
          <w:p w14:paraId="34B7F598">
            <w:pPr>
              <w:tabs>
                <w:tab w:val="left" w:pos="482"/>
              </w:tabs>
              <w:textAlignment w:val="baseline"/>
              <w:rPr>
                <w:rFonts w:hint="eastAsia" w:ascii="仿宋" w:hAnsi="仿宋" w:eastAsia="仿宋" w:cs="仿宋_GB2312"/>
                <w:bCs/>
                <w:szCs w:val="21"/>
              </w:rPr>
            </w:pPr>
            <w:r>
              <w:rPr>
                <w:rFonts w:hint="eastAsia" w:ascii="仿宋" w:hAnsi="仿宋" w:eastAsia="仿宋" w:cs="仿宋_GB2312"/>
                <w:bCs/>
                <w:szCs w:val="21"/>
              </w:rPr>
              <w:t>参选人综合评分 = A+B+C</w:t>
            </w:r>
          </w:p>
          <w:p w14:paraId="10558524">
            <w:pPr>
              <w:tabs>
                <w:tab w:val="left" w:pos="482"/>
              </w:tabs>
              <w:textAlignment w:val="baseline"/>
              <w:rPr>
                <w:rFonts w:hint="eastAsia" w:ascii="仿宋" w:hAnsi="仿宋" w:eastAsia="仿宋" w:cs="仿宋_GB2312"/>
                <w:bCs/>
                <w:szCs w:val="21"/>
              </w:rPr>
            </w:pPr>
            <w:r>
              <w:rPr>
                <w:rFonts w:hint="eastAsia" w:ascii="仿宋" w:hAnsi="仿宋" w:eastAsia="仿宋" w:cs="仿宋_GB2312"/>
                <w:bCs/>
                <w:szCs w:val="21"/>
              </w:rPr>
              <w:t>A = 技术评分×权重</w:t>
            </w:r>
          </w:p>
          <w:p w14:paraId="3BE15D0B">
            <w:pPr>
              <w:tabs>
                <w:tab w:val="left" w:pos="482"/>
              </w:tabs>
              <w:textAlignment w:val="baseline"/>
              <w:rPr>
                <w:rFonts w:hint="eastAsia" w:ascii="仿宋" w:hAnsi="仿宋" w:eastAsia="仿宋" w:cs="仿宋_GB2312"/>
                <w:bCs/>
                <w:szCs w:val="21"/>
              </w:rPr>
            </w:pPr>
            <w:r>
              <w:rPr>
                <w:rFonts w:hint="eastAsia" w:ascii="仿宋" w:hAnsi="仿宋" w:eastAsia="仿宋" w:cs="仿宋_GB2312"/>
                <w:bCs/>
                <w:szCs w:val="21"/>
              </w:rPr>
              <w:t>B = 商务资信评分×权重</w:t>
            </w:r>
          </w:p>
          <w:p w14:paraId="4FBB33DB">
            <w:pPr>
              <w:tabs>
                <w:tab w:val="left" w:pos="482"/>
              </w:tabs>
              <w:textAlignment w:val="baseline"/>
              <w:rPr>
                <w:rFonts w:hint="eastAsia" w:ascii="仿宋" w:hAnsi="仿宋" w:eastAsia="仿宋" w:cs="仿宋_GB2312"/>
                <w:b/>
                <w:szCs w:val="21"/>
              </w:rPr>
            </w:pPr>
            <w:r>
              <w:rPr>
                <w:rFonts w:hint="eastAsia" w:ascii="仿宋" w:hAnsi="仿宋" w:eastAsia="仿宋" w:cs="仿宋_GB2312"/>
                <w:bCs/>
                <w:szCs w:val="21"/>
              </w:rPr>
              <w:t>C = 参选报价评分×权重</w:t>
            </w:r>
          </w:p>
        </w:tc>
      </w:tr>
      <w:tr w14:paraId="47A20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1698" w:type="dxa"/>
            <w:gridSpan w:val="2"/>
            <w:tcBorders>
              <w:top w:val="single" w:color="auto" w:sz="2" w:space="0"/>
              <w:left w:val="single" w:color="auto" w:sz="2" w:space="0"/>
              <w:bottom w:val="single" w:color="auto" w:sz="2" w:space="0"/>
              <w:right w:val="single" w:color="auto" w:sz="2" w:space="0"/>
            </w:tcBorders>
            <w:vAlign w:val="center"/>
          </w:tcPr>
          <w:p w14:paraId="1D4CE984">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1.2</w:t>
            </w:r>
          </w:p>
        </w:tc>
        <w:tc>
          <w:tcPr>
            <w:tcW w:w="2552" w:type="dxa"/>
            <w:tcBorders>
              <w:top w:val="single" w:color="auto" w:sz="2" w:space="0"/>
              <w:left w:val="single" w:color="auto" w:sz="2" w:space="0"/>
              <w:bottom w:val="single" w:color="auto" w:sz="2" w:space="0"/>
              <w:right w:val="single" w:color="auto" w:sz="2" w:space="0"/>
            </w:tcBorders>
            <w:vAlign w:val="center"/>
          </w:tcPr>
          <w:p w14:paraId="2AA71F02">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评审基准价计算方法</w:t>
            </w:r>
          </w:p>
        </w:tc>
        <w:tc>
          <w:tcPr>
            <w:tcW w:w="5328" w:type="dxa"/>
            <w:tcBorders>
              <w:top w:val="single" w:color="auto" w:sz="2" w:space="0"/>
              <w:left w:val="single" w:color="auto" w:sz="2" w:space="0"/>
              <w:bottom w:val="single" w:color="auto" w:sz="2" w:space="0"/>
              <w:right w:val="single" w:color="auto" w:sz="2" w:space="0"/>
            </w:tcBorders>
            <w:vAlign w:val="center"/>
          </w:tcPr>
          <w:p w14:paraId="685D5016">
            <w:pPr>
              <w:adjustRightInd w:val="0"/>
              <w:snapToGrid w:val="0"/>
              <w:spacing w:line="360" w:lineRule="exact"/>
              <w:ind w:firstLine="420"/>
              <w:rPr>
                <w:rFonts w:hint="eastAsia" w:ascii="仿宋" w:hAnsi="仿宋" w:eastAsia="仿宋" w:cs="仿宋_GB2312"/>
                <w:szCs w:val="21"/>
              </w:rPr>
            </w:pPr>
            <w:r>
              <w:rPr>
                <w:rFonts w:hint="eastAsia" w:ascii="仿宋" w:hAnsi="仿宋" w:eastAsia="仿宋" w:cs="仿宋_GB2312"/>
                <w:szCs w:val="21"/>
              </w:rPr>
              <w:t>经评审的各参选单位报价算数平均值作为评审基准价。当投标总报价个数n在n&gt;=5且n≠0时，去掉范围内的最高、最低二个投标总报价后其余投标总报价的算术平均值。</w:t>
            </w:r>
          </w:p>
          <w:p w14:paraId="5ED65D51">
            <w:pPr>
              <w:adjustRightInd w:val="0"/>
              <w:snapToGrid w:val="0"/>
              <w:spacing w:line="360" w:lineRule="exact"/>
              <w:ind w:firstLine="420"/>
              <w:rPr>
                <w:rFonts w:hint="eastAsia" w:ascii="仿宋" w:hAnsi="仿宋" w:eastAsia="仿宋" w:cs="仿宋_GB2312"/>
                <w:szCs w:val="21"/>
              </w:rPr>
            </w:pPr>
            <w:r>
              <w:rPr>
                <w:rFonts w:hint="eastAsia" w:ascii="仿宋" w:hAnsi="仿宋" w:eastAsia="仿宋" w:cs="仿宋_GB2312"/>
                <w:szCs w:val="21"/>
              </w:rPr>
              <w:t>当投标总报价个数n在n&lt;5且n≠0时，直接计算范围内的全部投标总报价的算术平均值。</w:t>
            </w:r>
          </w:p>
          <w:p w14:paraId="60C6D9E5">
            <w:pPr>
              <w:tabs>
                <w:tab w:val="left" w:pos="482"/>
              </w:tabs>
              <w:textAlignment w:val="baseline"/>
              <w:rPr>
                <w:rFonts w:hint="eastAsia" w:ascii="仿宋" w:hAnsi="仿宋" w:eastAsia="仿宋" w:cs="仿宋_GB2312"/>
                <w:b/>
                <w:szCs w:val="21"/>
              </w:rPr>
            </w:pPr>
          </w:p>
        </w:tc>
      </w:tr>
      <w:tr w14:paraId="0DDBE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1" w:hRule="atLeast"/>
        </w:trPr>
        <w:tc>
          <w:tcPr>
            <w:tcW w:w="1698" w:type="dxa"/>
            <w:gridSpan w:val="2"/>
            <w:tcBorders>
              <w:top w:val="single" w:color="auto" w:sz="2" w:space="0"/>
              <w:left w:val="single" w:color="auto" w:sz="2" w:space="0"/>
              <w:bottom w:val="single" w:color="auto" w:sz="2" w:space="0"/>
              <w:right w:val="single" w:color="auto" w:sz="2" w:space="0"/>
            </w:tcBorders>
            <w:vAlign w:val="center"/>
          </w:tcPr>
          <w:p w14:paraId="2F12CB9F">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1.3</w:t>
            </w:r>
          </w:p>
        </w:tc>
        <w:tc>
          <w:tcPr>
            <w:tcW w:w="2552" w:type="dxa"/>
            <w:tcBorders>
              <w:top w:val="single" w:color="auto" w:sz="2" w:space="0"/>
              <w:left w:val="single" w:color="auto" w:sz="2" w:space="0"/>
              <w:bottom w:val="single" w:color="auto" w:sz="2" w:space="0"/>
              <w:right w:val="single" w:color="auto" w:sz="2" w:space="0"/>
            </w:tcBorders>
            <w:vAlign w:val="center"/>
          </w:tcPr>
          <w:p w14:paraId="7F1A500D">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评审价格偏差计算方法</w:t>
            </w:r>
          </w:p>
        </w:tc>
        <w:tc>
          <w:tcPr>
            <w:tcW w:w="5328" w:type="dxa"/>
            <w:tcBorders>
              <w:top w:val="single" w:color="auto" w:sz="2" w:space="0"/>
              <w:left w:val="single" w:color="auto" w:sz="2" w:space="0"/>
              <w:bottom w:val="single" w:color="auto" w:sz="2" w:space="0"/>
              <w:right w:val="single" w:color="auto" w:sz="2" w:space="0"/>
            </w:tcBorders>
            <w:vAlign w:val="center"/>
          </w:tcPr>
          <w:p w14:paraId="2F7DF2E4">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 xml:space="preserve">偏差=（有效参选人评审价格-评审基准价） /评审基准价×100 </w:t>
            </w:r>
          </w:p>
        </w:tc>
      </w:tr>
      <w:tr w14:paraId="0A659F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8" w:hRule="atLeast"/>
        </w:trPr>
        <w:tc>
          <w:tcPr>
            <w:tcW w:w="1698" w:type="dxa"/>
            <w:gridSpan w:val="2"/>
            <w:tcBorders>
              <w:top w:val="single" w:color="auto" w:sz="2" w:space="0"/>
              <w:left w:val="single" w:color="auto" w:sz="2" w:space="0"/>
              <w:bottom w:val="single" w:color="auto" w:sz="2" w:space="0"/>
              <w:right w:val="single" w:color="auto" w:sz="2" w:space="0"/>
            </w:tcBorders>
            <w:vAlign w:val="center"/>
          </w:tcPr>
          <w:p w14:paraId="48E72D39">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2</w:t>
            </w:r>
          </w:p>
        </w:tc>
        <w:tc>
          <w:tcPr>
            <w:tcW w:w="2552" w:type="dxa"/>
            <w:tcBorders>
              <w:top w:val="single" w:color="auto" w:sz="2" w:space="0"/>
              <w:left w:val="single" w:color="auto" w:sz="2" w:space="0"/>
              <w:bottom w:val="single" w:color="auto" w:sz="2" w:space="0"/>
              <w:right w:val="single" w:color="auto" w:sz="2" w:space="0"/>
            </w:tcBorders>
            <w:vAlign w:val="center"/>
          </w:tcPr>
          <w:p w14:paraId="67BED0BA">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评分标准</w:t>
            </w:r>
          </w:p>
        </w:tc>
        <w:tc>
          <w:tcPr>
            <w:tcW w:w="5328" w:type="dxa"/>
            <w:tcBorders>
              <w:top w:val="single" w:color="auto" w:sz="2" w:space="0"/>
              <w:left w:val="single" w:color="auto" w:sz="2" w:space="0"/>
              <w:bottom w:val="single" w:color="auto" w:sz="2" w:space="0"/>
              <w:right w:val="single" w:color="auto" w:sz="2" w:space="0"/>
            </w:tcBorders>
            <w:vAlign w:val="center"/>
          </w:tcPr>
          <w:p w14:paraId="1E5A546D">
            <w:pPr>
              <w:tabs>
                <w:tab w:val="left" w:pos="482"/>
              </w:tabs>
              <w:textAlignment w:val="baseline"/>
              <w:rPr>
                <w:rFonts w:hint="eastAsia" w:ascii="仿宋" w:hAnsi="仿宋" w:eastAsia="仿宋" w:cs="仿宋_GB2312"/>
                <w:szCs w:val="21"/>
              </w:rPr>
            </w:pPr>
          </w:p>
        </w:tc>
      </w:tr>
      <w:tr w14:paraId="56CC35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0" w:hRule="atLeast"/>
        </w:trPr>
        <w:tc>
          <w:tcPr>
            <w:tcW w:w="606" w:type="dxa"/>
            <w:vMerge w:val="restart"/>
            <w:tcBorders>
              <w:top w:val="single" w:color="auto" w:sz="2" w:space="0"/>
              <w:left w:val="single" w:color="auto" w:sz="2" w:space="0"/>
              <w:bottom w:val="single" w:color="auto" w:sz="2" w:space="0"/>
              <w:right w:val="single" w:color="auto" w:sz="2" w:space="0"/>
            </w:tcBorders>
            <w:vAlign w:val="center"/>
          </w:tcPr>
          <w:p w14:paraId="77B0833D">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2.1</w:t>
            </w:r>
          </w:p>
        </w:tc>
        <w:tc>
          <w:tcPr>
            <w:tcW w:w="1092" w:type="dxa"/>
            <w:vMerge w:val="restart"/>
            <w:tcBorders>
              <w:top w:val="single" w:color="auto" w:sz="2" w:space="0"/>
              <w:left w:val="single" w:color="auto" w:sz="2" w:space="0"/>
              <w:bottom w:val="single" w:color="auto" w:sz="2" w:space="0"/>
              <w:right w:val="single" w:color="auto" w:sz="2" w:space="0"/>
            </w:tcBorders>
            <w:vAlign w:val="center"/>
          </w:tcPr>
          <w:p w14:paraId="49A7C075">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技术评分标准(满分100分，权重30%)</w:t>
            </w:r>
          </w:p>
        </w:tc>
        <w:tc>
          <w:tcPr>
            <w:tcW w:w="2552" w:type="dxa"/>
            <w:tcBorders>
              <w:top w:val="single" w:color="auto" w:sz="2" w:space="0"/>
              <w:left w:val="single" w:color="auto" w:sz="2" w:space="0"/>
              <w:bottom w:val="single" w:color="auto" w:sz="2" w:space="0"/>
              <w:right w:val="single" w:color="auto" w:sz="2" w:space="0"/>
            </w:tcBorders>
            <w:vAlign w:val="center"/>
          </w:tcPr>
          <w:p w14:paraId="438F27BD">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施工技术方案</w:t>
            </w:r>
          </w:p>
          <w:p w14:paraId="65F45254">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（满分40分）</w:t>
            </w:r>
          </w:p>
        </w:tc>
        <w:tc>
          <w:tcPr>
            <w:tcW w:w="5328" w:type="dxa"/>
            <w:tcBorders>
              <w:top w:val="single" w:color="auto" w:sz="2" w:space="0"/>
              <w:left w:val="single" w:color="auto" w:sz="2" w:space="0"/>
              <w:bottom w:val="single" w:color="auto" w:sz="2" w:space="0"/>
              <w:right w:val="single" w:color="auto" w:sz="2" w:space="0"/>
            </w:tcBorders>
            <w:vAlign w:val="center"/>
          </w:tcPr>
          <w:p w14:paraId="69074418">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施工组织方案内容齐全，对工程理解透彻，重点、难点叙述准确，施工方法可行、工序安排合理，项目齐全、内容合理、施工工艺流程符合本工程的实际情况以及现场条件，描述清晰、详细。（40分）</w:t>
            </w:r>
          </w:p>
        </w:tc>
      </w:tr>
      <w:tr w14:paraId="17987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733D531B">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12AA31BD">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2" w:space="0"/>
              <w:right w:val="single" w:color="auto" w:sz="2" w:space="0"/>
            </w:tcBorders>
            <w:vAlign w:val="center"/>
          </w:tcPr>
          <w:p w14:paraId="2642EE1D">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质量措施</w:t>
            </w:r>
          </w:p>
          <w:p w14:paraId="70B588D4">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（满分10分）</w:t>
            </w:r>
          </w:p>
        </w:tc>
        <w:tc>
          <w:tcPr>
            <w:tcW w:w="5328" w:type="dxa"/>
            <w:tcBorders>
              <w:top w:val="single" w:color="auto" w:sz="2" w:space="0"/>
              <w:left w:val="single" w:color="auto" w:sz="2" w:space="0"/>
              <w:bottom w:val="single" w:color="auto" w:sz="2" w:space="0"/>
              <w:right w:val="single" w:color="auto" w:sz="2" w:space="0"/>
            </w:tcBorders>
            <w:vAlign w:val="center"/>
          </w:tcPr>
          <w:p w14:paraId="7F4F12FD">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对比选人有质量承诺，质量保证体系健全，质量目标响应招标文件规定，消除质量通病的措施明确、可行。（10分）</w:t>
            </w:r>
          </w:p>
        </w:tc>
      </w:tr>
      <w:tr w14:paraId="60B62C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4FE7800E">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7F28807C">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2" w:space="0"/>
              <w:right w:val="single" w:color="auto" w:sz="2" w:space="0"/>
            </w:tcBorders>
            <w:vAlign w:val="center"/>
          </w:tcPr>
          <w:p w14:paraId="4FD6085C">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安全及文明施工措施</w:t>
            </w:r>
          </w:p>
          <w:p w14:paraId="610BA03D">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（满分10分）</w:t>
            </w:r>
          </w:p>
        </w:tc>
        <w:tc>
          <w:tcPr>
            <w:tcW w:w="5328" w:type="dxa"/>
            <w:tcBorders>
              <w:top w:val="single" w:color="auto" w:sz="2" w:space="0"/>
              <w:left w:val="single" w:color="auto" w:sz="2" w:space="0"/>
              <w:bottom w:val="single" w:color="auto" w:sz="2" w:space="0"/>
              <w:right w:val="single" w:color="auto" w:sz="2" w:space="0"/>
            </w:tcBorders>
            <w:vAlign w:val="center"/>
          </w:tcPr>
          <w:p w14:paraId="160F36CE">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有完善的安全保证体系、安全目标响应招标文件规定、安全管理、安全技术、文明施工保障等措施可靠、可行，杜绝习惯性违章措施有针对性。（10分）</w:t>
            </w:r>
          </w:p>
        </w:tc>
      </w:tr>
      <w:tr w14:paraId="558169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47E404AF">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119484B8">
            <w:pPr>
              <w:tabs>
                <w:tab w:val="left" w:pos="482"/>
              </w:tabs>
              <w:jc w:val="center"/>
              <w:textAlignment w:val="baseline"/>
              <w:rPr>
                <w:rFonts w:hint="eastAsia" w:ascii="仿宋" w:hAnsi="仿宋" w:eastAsia="仿宋" w:cs="仿宋_GB2312"/>
                <w:szCs w:val="21"/>
              </w:rPr>
            </w:pPr>
          </w:p>
        </w:tc>
        <w:tc>
          <w:tcPr>
            <w:tcW w:w="2552" w:type="dxa"/>
            <w:vMerge w:val="restart"/>
            <w:tcBorders>
              <w:top w:val="single" w:color="auto" w:sz="2" w:space="0"/>
              <w:left w:val="single" w:color="auto" w:sz="2" w:space="0"/>
              <w:bottom w:val="single" w:color="auto" w:sz="2" w:space="0"/>
              <w:right w:val="single" w:color="auto" w:sz="2" w:space="0"/>
            </w:tcBorders>
            <w:vAlign w:val="center"/>
          </w:tcPr>
          <w:p w14:paraId="09B443D7">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工期（满分10分）</w:t>
            </w:r>
          </w:p>
        </w:tc>
        <w:tc>
          <w:tcPr>
            <w:tcW w:w="5328" w:type="dxa"/>
            <w:tcBorders>
              <w:top w:val="single" w:color="auto" w:sz="2" w:space="0"/>
              <w:left w:val="single" w:color="auto" w:sz="2" w:space="0"/>
              <w:bottom w:val="single" w:color="auto" w:sz="2" w:space="0"/>
              <w:right w:val="single" w:color="auto" w:sz="2" w:space="0"/>
            </w:tcBorders>
            <w:vAlign w:val="center"/>
          </w:tcPr>
          <w:p w14:paraId="639B3D09">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工期满足招标文件要求。（2分）</w:t>
            </w:r>
          </w:p>
        </w:tc>
      </w:tr>
      <w:tr w14:paraId="4B81E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60B438F4">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7CF9C181">
            <w:pPr>
              <w:tabs>
                <w:tab w:val="left" w:pos="482"/>
              </w:tabs>
              <w:jc w:val="center"/>
              <w:textAlignment w:val="baseline"/>
              <w:rPr>
                <w:rFonts w:hint="eastAsia" w:ascii="仿宋" w:hAnsi="仿宋" w:eastAsia="仿宋" w:cs="仿宋_GB2312"/>
                <w:szCs w:val="21"/>
              </w:rPr>
            </w:pPr>
          </w:p>
        </w:tc>
        <w:tc>
          <w:tcPr>
            <w:tcW w:w="2552" w:type="dxa"/>
            <w:vMerge w:val="continue"/>
            <w:tcBorders>
              <w:top w:val="single" w:color="auto" w:sz="2" w:space="0"/>
              <w:left w:val="single" w:color="auto" w:sz="2" w:space="0"/>
              <w:bottom w:val="single" w:color="auto" w:sz="2" w:space="0"/>
              <w:right w:val="single" w:color="auto" w:sz="2" w:space="0"/>
            </w:tcBorders>
            <w:vAlign w:val="center"/>
          </w:tcPr>
          <w:p w14:paraId="14815C0A">
            <w:pPr>
              <w:tabs>
                <w:tab w:val="left" w:pos="482"/>
              </w:tabs>
              <w:textAlignment w:val="baseline"/>
              <w:rPr>
                <w:rFonts w:hint="eastAsia" w:ascii="仿宋" w:hAnsi="仿宋" w:eastAsia="仿宋" w:cs="仿宋_GB2312"/>
                <w:szCs w:val="21"/>
              </w:rPr>
            </w:pPr>
          </w:p>
        </w:tc>
        <w:tc>
          <w:tcPr>
            <w:tcW w:w="5328" w:type="dxa"/>
            <w:tcBorders>
              <w:top w:val="single" w:color="auto" w:sz="2" w:space="0"/>
              <w:left w:val="single" w:color="auto" w:sz="2" w:space="0"/>
              <w:bottom w:val="single" w:color="auto" w:sz="2" w:space="0"/>
              <w:right w:val="single" w:color="auto" w:sz="2" w:space="0"/>
            </w:tcBorders>
            <w:vAlign w:val="center"/>
          </w:tcPr>
          <w:p w14:paraId="41B4ADF2">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进度计划与保障措施合理、有效。（8分）</w:t>
            </w:r>
          </w:p>
        </w:tc>
      </w:tr>
      <w:tr w14:paraId="0355F0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52770C35">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3C1C3F4C">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2" w:space="0"/>
              <w:right w:val="single" w:color="auto" w:sz="2" w:space="0"/>
            </w:tcBorders>
            <w:vAlign w:val="center"/>
          </w:tcPr>
          <w:p w14:paraId="22B50B9F">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资源投入配置（满分10分）</w:t>
            </w:r>
          </w:p>
        </w:tc>
        <w:tc>
          <w:tcPr>
            <w:tcW w:w="5328" w:type="dxa"/>
            <w:tcBorders>
              <w:top w:val="single" w:color="auto" w:sz="2" w:space="0"/>
              <w:left w:val="single" w:color="auto" w:sz="2" w:space="0"/>
              <w:bottom w:val="single" w:color="auto" w:sz="2" w:space="0"/>
              <w:right w:val="single" w:color="auto" w:sz="2" w:space="0"/>
            </w:tcBorders>
            <w:vAlign w:val="center"/>
          </w:tcPr>
          <w:p w14:paraId="168B9168">
            <w:pPr>
              <w:tabs>
                <w:tab w:val="left" w:pos="482"/>
              </w:tabs>
              <w:textAlignment w:val="baseline"/>
            </w:pPr>
            <w:r>
              <w:rPr>
                <w:rFonts w:hint="eastAsia" w:ascii="仿宋" w:hAnsi="仿宋" w:eastAsia="仿宋" w:cs="仿宋_GB2312"/>
                <w:szCs w:val="21"/>
              </w:rPr>
              <w:t>投入本标段人员、设备，满足工程施工需要、配备合理。（10分）</w:t>
            </w:r>
          </w:p>
        </w:tc>
      </w:tr>
      <w:tr w14:paraId="556EA8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12FA9D7B">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33783101">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4" w:space="0"/>
              <w:right w:val="single" w:color="auto" w:sz="2" w:space="0"/>
            </w:tcBorders>
            <w:vAlign w:val="center"/>
          </w:tcPr>
          <w:p w14:paraId="24FCCB7B">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现场组织机构设置（满分10分）</w:t>
            </w:r>
          </w:p>
        </w:tc>
        <w:tc>
          <w:tcPr>
            <w:tcW w:w="5328" w:type="dxa"/>
            <w:tcBorders>
              <w:top w:val="single" w:color="auto" w:sz="2" w:space="0"/>
              <w:left w:val="single" w:color="auto" w:sz="2" w:space="0"/>
              <w:bottom w:val="single" w:color="auto" w:sz="4" w:space="0"/>
              <w:right w:val="single" w:color="auto" w:sz="2" w:space="0"/>
            </w:tcBorders>
            <w:vAlign w:val="center"/>
          </w:tcPr>
          <w:p w14:paraId="1116F88A">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现场组织机构设置合理、层次清晰、职责明确。（10分）</w:t>
            </w:r>
          </w:p>
          <w:p w14:paraId="39498B38">
            <w:pPr>
              <w:tabs>
                <w:tab w:val="left" w:pos="482"/>
              </w:tabs>
              <w:textAlignment w:val="baseline"/>
              <w:rPr>
                <w:rFonts w:hint="eastAsia" w:ascii="仿宋" w:hAnsi="仿宋" w:eastAsia="仿宋" w:cs="仿宋_GB2312"/>
                <w:szCs w:val="21"/>
              </w:rPr>
            </w:pPr>
          </w:p>
        </w:tc>
      </w:tr>
      <w:tr w14:paraId="70ECCC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4" w:hRule="atLeast"/>
        </w:trPr>
        <w:tc>
          <w:tcPr>
            <w:tcW w:w="606" w:type="dxa"/>
            <w:vMerge w:val="continue"/>
            <w:tcBorders>
              <w:left w:val="single" w:color="auto" w:sz="2" w:space="0"/>
              <w:bottom w:val="single" w:color="auto" w:sz="2" w:space="0"/>
              <w:right w:val="single" w:color="auto" w:sz="2" w:space="0"/>
            </w:tcBorders>
            <w:vAlign w:val="center"/>
          </w:tcPr>
          <w:p w14:paraId="115468AB">
            <w:pPr>
              <w:tabs>
                <w:tab w:val="left" w:pos="482"/>
              </w:tabs>
              <w:jc w:val="center"/>
              <w:textAlignment w:val="baseline"/>
              <w:rPr>
                <w:rFonts w:hint="eastAsia" w:ascii="仿宋" w:hAnsi="仿宋" w:eastAsia="仿宋" w:cs="仿宋_GB2312"/>
                <w:szCs w:val="21"/>
              </w:rPr>
            </w:pPr>
          </w:p>
        </w:tc>
        <w:tc>
          <w:tcPr>
            <w:tcW w:w="1092" w:type="dxa"/>
            <w:vMerge w:val="continue"/>
            <w:tcBorders>
              <w:left w:val="single" w:color="auto" w:sz="2" w:space="0"/>
              <w:bottom w:val="single" w:color="auto" w:sz="2" w:space="0"/>
              <w:right w:val="single" w:color="auto" w:sz="2" w:space="0"/>
            </w:tcBorders>
            <w:vAlign w:val="center"/>
          </w:tcPr>
          <w:p w14:paraId="6E401B4B">
            <w:pPr>
              <w:tabs>
                <w:tab w:val="left" w:pos="482"/>
              </w:tabs>
              <w:jc w:val="center"/>
              <w:textAlignment w:val="baseline"/>
              <w:rPr>
                <w:rFonts w:hint="eastAsia" w:ascii="仿宋" w:hAnsi="仿宋" w:eastAsia="仿宋" w:cs="仿宋_GB2312"/>
                <w:szCs w:val="21"/>
              </w:rPr>
            </w:pPr>
          </w:p>
        </w:tc>
        <w:tc>
          <w:tcPr>
            <w:tcW w:w="2552" w:type="dxa"/>
            <w:tcBorders>
              <w:top w:val="single" w:color="auto" w:sz="4" w:space="0"/>
              <w:left w:val="single" w:color="auto" w:sz="2" w:space="0"/>
              <w:bottom w:val="single" w:color="auto" w:sz="2" w:space="0"/>
              <w:right w:val="single" w:color="auto" w:sz="2" w:space="0"/>
            </w:tcBorders>
            <w:vAlign w:val="center"/>
          </w:tcPr>
          <w:p w14:paraId="2C640EC6">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成本管控措施（满分10分）</w:t>
            </w:r>
          </w:p>
        </w:tc>
        <w:tc>
          <w:tcPr>
            <w:tcW w:w="5328" w:type="dxa"/>
            <w:tcBorders>
              <w:top w:val="single" w:color="auto" w:sz="4" w:space="0"/>
              <w:left w:val="single" w:color="auto" w:sz="2" w:space="0"/>
              <w:bottom w:val="single" w:color="auto" w:sz="2" w:space="0"/>
              <w:right w:val="single" w:color="auto" w:sz="2" w:space="0"/>
            </w:tcBorders>
            <w:vAlign w:val="center"/>
          </w:tcPr>
          <w:p w14:paraId="15978598">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投入资源现场管理手段或措施、施工工艺、内外沟通协调等成本控制方案或措施的合理性和可行性。（10分）</w:t>
            </w:r>
          </w:p>
        </w:tc>
      </w:tr>
      <w:tr w14:paraId="17E51D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8" w:hRule="atLeast"/>
        </w:trPr>
        <w:tc>
          <w:tcPr>
            <w:tcW w:w="606" w:type="dxa"/>
            <w:vMerge w:val="restart"/>
            <w:tcBorders>
              <w:top w:val="single" w:color="auto" w:sz="2" w:space="0"/>
              <w:left w:val="single" w:color="auto" w:sz="2" w:space="0"/>
              <w:right w:val="single" w:color="auto" w:sz="2" w:space="0"/>
            </w:tcBorders>
            <w:vAlign w:val="center"/>
          </w:tcPr>
          <w:p w14:paraId="476EDBEA">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2.2</w:t>
            </w:r>
          </w:p>
        </w:tc>
        <w:tc>
          <w:tcPr>
            <w:tcW w:w="1092" w:type="dxa"/>
            <w:vMerge w:val="restart"/>
            <w:tcBorders>
              <w:top w:val="single" w:color="auto" w:sz="2" w:space="0"/>
              <w:left w:val="single" w:color="auto" w:sz="2" w:space="0"/>
              <w:right w:val="single" w:color="auto" w:sz="2" w:space="0"/>
            </w:tcBorders>
            <w:vAlign w:val="center"/>
          </w:tcPr>
          <w:p w14:paraId="02F77282">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商务资信因素评分标准(满分100分，权重10%)</w:t>
            </w:r>
          </w:p>
        </w:tc>
        <w:tc>
          <w:tcPr>
            <w:tcW w:w="2552" w:type="dxa"/>
            <w:tcBorders>
              <w:top w:val="single" w:color="auto" w:sz="2" w:space="0"/>
              <w:left w:val="single" w:color="auto" w:sz="2" w:space="0"/>
              <w:bottom w:val="single" w:color="auto" w:sz="2" w:space="0"/>
              <w:right w:val="single" w:color="auto" w:sz="2" w:space="0"/>
            </w:tcBorders>
            <w:vAlign w:val="center"/>
          </w:tcPr>
          <w:p w14:paraId="69F0982D">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业绩情况</w:t>
            </w:r>
          </w:p>
          <w:p w14:paraId="4E0AE3F8">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（满分30）</w:t>
            </w:r>
          </w:p>
        </w:tc>
        <w:tc>
          <w:tcPr>
            <w:tcW w:w="5328" w:type="dxa"/>
            <w:tcBorders>
              <w:top w:val="single" w:color="auto" w:sz="2" w:space="0"/>
              <w:left w:val="single" w:color="auto" w:sz="2" w:space="0"/>
              <w:bottom w:val="single" w:color="auto" w:sz="2" w:space="0"/>
              <w:right w:val="single" w:color="auto" w:sz="2" w:space="0"/>
            </w:tcBorders>
            <w:vAlign w:val="center"/>
          </w:tcPr>
          <w:p w14:paraId="12D887F9">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近五年内，有正在施工或已完成的，并满足比选文件资格条件要求的相似于本次招标项目业绩或以上的业绩，每1个类似专业分包业绩得10分；得分累加。</w:t>
            </w:r>
          </w:p>
        </w:tc>
      </w:tr>
      <w:tr w14:paraId="2D24ED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8" w:hRule="atLeast"/>
        </w:trPr>
        <w:tc>
          <w:tcPr>
            <w:tcW w:w="606" w:type="dxa"/>
            <w:vMerge w:val="continue"/>
            <w:tcBorders>
              <w:left w:val="single" w:color="auto" w:sz="2" w:space="0"/>
              <w:right w:val="single" w:color="auto" w:sz="2" w:space="0"/>
            </w:tcBorders>
            <w:vAlign w:val="center"/>
          </w:tcPr>
          <w:p w14:paraId="4BBC7E80">
            <w:pPr>
              <w:tabs>
                <w:tab w:val="left" w:pos="482"/>
              </w:tabs>
              <w:jc w:val="center"/>
              <w:textAlignment w:val="baseline"/>
              <w:rPr>
                <w:rFonts w:hint="eastAsia" w:ascii="仿宋" w:hAnsi="仿宋" w:eastAsia="仿宋" w:cs="仿宋_GB2312"/>
                <w:szCs w:val="21"/>
              </w:rPr>
            </w:pPr>
          </w:p>
        </w:tc>
        <w:tc>
          <w:tcPr>
            <w:tcW w:w="1092" w:type="dxa"/>
            <w:vMerge w:val="continue"/>
            <w:tcBorders>
              <w:left w:val="single" w:color="auto" w:sz="2" w:space="0"/>
              <w:right w:val="single" w:color="auto" w:sz="2" w:space="0"/>
            </w:tcBorders>
            <w:vAlign w:val="center"/>
          </w:tcPr>
          <w:p w14:paraId="194DDD8D">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2" w:space="0"/>
              <w:right w:val="single" w:color="auto" w:sz="2" w:space="0"/>
            </w:tcBorders>
            <w:vAlign w:val="center"/>
          </w:tcPr>
          <w:p w14:paraId="5B393706">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拟投入本工程管理人员经历、能力水平（满分50分）</w:t>
            </w:r>
          </w:p>
        </w:tc>
        <w:tc>
          <w:tcPr>
            <w:tcW w:w="5328" w:type="dxa"/>
            <w:tcBorders>
              <w:top w:val="single" w:color="auto" w:sz="2" w:space="0"/>
              <w:left w:val="single" w:color="auto" w:sz="2" w:space="0"/>
              <w:bottom w:val="single" w:color="auto" w:sz="2" w:space="0"/>
              <w:right w:val="single" w:color="auto" w:sz="2" w:space="0"/>
            </w:tcBorders>
            <w:vAlign w:val="center"/>
          </w:tcPr>
          <w:p w14:paraId="3D00C1FD">
            <w:pPr>
              <w:numPr>
                <w:ilvl w:val="0"/>
                <w:numId w:val="1"/>
              </w:num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现场管理人员类似工程经验丰富，项目负责人具备水利水电工程一级建造师得15分，具备水利水电工程二级建造师得5分。具备建造师执业资格的同时具有高级工程师职称证书得10分，满分25分；</w:t>
            </w:r>
          </w:p>
          <w:p w14:paraId="611ED476">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2、项目组成员具备电子信息工程高级工程师、信息系统项目管理师、系统架构设计师、信息安全保障人员认证安全集成(专业级)、信息安全保障人员认证安全运维(专业级)，每一个人员5分，满分25分。</w:t>
            </w:r>
          </w:p>
          <w:p w14:paraId="76C98CA1">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拟投入的本项目的人员须为参选人正式员工(提供有效的身份证、劳动合同、提供投标截止时前6个月连续缴纳社保的材料。）</w:t>
            </w:r>
          </w:p>
        </w:tc>
      </w:tr>
      <w:tr w14:paraId="203F5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8" w:hRule="atLeast"/>
        </w:trPr>
        <w:tc>
          <w:tcPr>
            <w:tcW w:w="606" w:type="dxa"/>
            <w:vMerge w:val="continue"/>
            <w:tcBorders>
              <w:left w:val="single" w:color="auto" w:sz="2" w:space="0"/>
              <w:bottom w:val="single" w:color="auto" w:sz="2" w:space="0"/>
              <w:right w:val="single" w:color="auto" w:sz="2" w:space="0"/>
            </w:tcBorders>
            <w:vAlign w:val="center"/>
          </w:tcPr>
          <w:p w14:paraId="7CBA3E2B">
            <w:pPr>
              <w:tabs>
                <w:tab w:val="left" w:pos="482"/>
              </w:tabs>
              <w:jc w:val="center"/>
              <w:textAlignment w:val="baseline"/>
              <w:rPr>
                <w:rFonts w:hint="eastAsia" w:ascii="仿宋" w:hAnsi="仿宋" w:eastAsia="仿宋" w:cs="仿宋_GB2312"/>
                <w:szCs w:val="21"/>
              </w:rPr>
            </w:pPr>
          </w:p>
        </w:tc>
        <w:tc>
          <w:tcPr>
            <w:tcW w:w="1092" w:type="dxa"/>
            <w:vMerge w:val="continue"/>
            <w:tcBorders>
              <w:left w:val="single" w:color="auto" w:sz="2" w:space="0"/>
              <w:bottom w:val="single" w:color="auto" w:sz="2" w:space="0"/>
              <w:right w:val="single" w:color="auto" w:sz="2" w:space="0"/>
            </w:tcBorders>
            <w:vAlign w:val="center"/>
          </w:tcPr>
          <w:p w14:paraId="0FEFF2CE">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2" w:space="0"/>
              <w:right w:val="single" w:color="auto" w:sz="2" w:space="0"/>
            </w:tcBorders>
            <w:vAlign w:val="center"/>
          </w:tcPr>
          <w:p w14:paraId="034293FE">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企业能力（满分20分）</w:t>
            </w:r>
          </w:p>
        </w:tc>
        <w:tc>
          <w:tcPr>
            <w:tcW w:w="5328" w:type="dxa"/>
            <w:tcBorders>
              <w:top w:val="single" w:color="auto" w:sz="2" w:space="0"/>
              <w:left w:val="single" w:color="auto" w:sz="2" w:space="0"/>
              <w:bottom w:val="single" w:color="auto" w:sz="2" w:space="0"/>
              <w:right w:val="single" w:color="auto" w:sz="2" w:space="0"/>
            </w:tcBorders>
            <w:vAlign w:val="center"/>
          </w:tcPr>
          <w:tbl>
            <w:tblPr>
              <w:tblStyle w:val="16"/>
              <w:tblW w:w="5327" w:type="dxa"/>
              <w:tblInd w:w="0" w:type="dxa"/>
              <w:tblBorders>
                <w:top w:val="none" w:color="auto" w:sz="0" w:space="0"/>
                <w:left w:val="none" w:color="auto" w:sz="0" w:space="0"/>
                <w:bottom w:val="none" w:color="auto" w:sz="0" w:space="0"/>
                <w:right w:val="none" w:color="auto" w:sz="0" w:space="0"/>
                <w:insideH w:val="single" w:color="auto" w:sz="2" w:space="0"/>
                <w:insideV w:val="none" w:color="auto" w:sz="0" w:space="0"/>
              </w:tblBorders>
              <w:tblLayout w:type="fixed"/>
              <w:tblCellMar>
                <w:top w:w="0" w:type="dxa"/>
                <w:left w:w="108" w:type="dxa"/>
                <w:bottom w:w="0" w:type="dxa"/>
                <w:right w:w="108" w:type="dxa"/>
              </w:tblCellMar>
            </w:tblPr>
            <w:tblGrid>
              <w:gridCol w:w="5327"/>
            </w:tblGrid>
            <w:tr w14:paraId="1FBB403E">
              <w:tblPrEx>
                <w:tblBorders>
                  <w:top w:val="none" w:color="auto" w:sz="0" w:space="0"/>
                  <w:left w:val="none" w:color="auto" w:sz="0" w:space="0"/>
                  <w:bottom w:val="none" w:color="auto" w:sz="0" w:space="0"/>
                  <w:right w:val="none" w:color="auto" w:sz="0" w:space="0"/>
                  <w:insideH w:val="single" w:color="auto" w:sz="2" w:space="0"/>
                  <w:insideV w:val="none" w:color="auto" w:sz="0" w:space="0"/>
                </w:tblBorders>
                <w:tblCellMar>
                  <w:top w:w="0" w:type="dxa"/>
                  <w:left w:w="108" w:type="dxa"/>
                  <w:bottom w:w="0" w:type="dxa"/>
                  <w:right w:w="108" w:type="dxa"/>
                </w:tblCellMar>
              </w:tblPrEx>
              <w:trPr>
                <w:trHeight w:val="570" w:hRule="atLeast"/>
              </w:trPr>
              <w:tc>
                <w:tcPr>
                  <w:tcW w:w="5327" w:type="dxa"/>
                  <w:tcBorders>
                    <w:tl2br w:val="nil"/>
                    <w:tr2bl w:val="nil"/>
                  </w:tcBorders>
                  <w:vAlign w:val="center"/>
                </w:tcPr>
                <w:p w14:paraId="2C3431DE">
                  <w:pPr>
                    <w:numPr>
                      <w:ilvl w:val="0"/>
                      <w:numId w:val="2"/>
                    </w:num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投标人自身具有软件开发能力、信息系统建设和服务能力相关证书，根据证书等级及数量（每一个得3分）最高得15分；</w:t>
                  </w:r>
                </w:p>
                <w:p w14:paraId="6969ED23">
                  <w:pPr>
                    <w:tabs>
                      <w:tab w:val="left" w:pos="482"/>
                    </w:tabs>
                    <w:textAlignment w:val="baseline"/>
                  </w:pPr>
                  <w:r>
                    <w:rPr>
                      <w:rFonts w:hint="eastAsia" w:ascii="仿宋" w:hAnsi="仿宋" w:eastAsia="仿宋" w:cs="仿宋_GB2312"/>
                      <w:szCs w:val="21"/>
                    </w:rPr>
                    <w:t>2、投标人具有全国水利建设市场信用评价AAA得5分。</w:t>
                  </w:r>
                </w:p>
              </w:tc>
            </w:tr>
          </w:tbl>
          <w:p w14:paraId="6D9C4CE8">
            <w:pPr>
              <w:tabs>
                <w:tab w:val="left" w:pos="482"/>
              </w:tabs>
              <w:textAlignment w:val="baseline"/>
              <w:rPr>
                <w:rFonts w:hint="eastAsia" w:ascii="仿宋" w:hAnsi="仿宋" w:eastAsia="仿宋" w:cs="仿宋_GB2312"/>
                <w:szCs w:val="21"/>
              </w:rPr>
            </w:pPr>
          </w:p>
        </w:tc>
      </w:tr>
      <w:tr w14:paraId="3078F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7" w:hRule="atLeast"/>
        </w:trPr>
        <w:tc>
          <w:tcPr>
            <w:tcW w:w="606" w:type="dxa"/>
            <w:vMerge w:val="restart"/>
            <w:tcBorders>
              <w:top w:val="single" w:color="auto" w:sz="2" w:space="0"/>
              <w:left w:val="single" w:color="auto" w:sz="2" w:space="0"/>
              <w:bottom w:val="single" w:color="auto" w:sz="2" w:space="0"/>
              <w:right w:val="single" w:color="auto" w:sz="2" w:space="0"/>
            </w:tcBorders>
            <w:vAlign w:val="center"/>
          </w:tcPr>
          <w:p w14:paraId="3A038B31">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2.3</w:t>
            </w:r>
          </w:p>
        </w:tc>
        <w:tc>
          <w:tcPr>
            <w:tcW w:w="1092" w:type="dxa"/>
            <w:vMerge w:val="restart"/>
            <w:tcBorders>
              <w:top w:val="single" w:color="auto" w:sz="2" w:space="0"/>
              <w:left w:val="single" w:color="auto" w:sz="2" w:space="0"/>
              <w:bottom w:val="single" w:color="auto" w:sz="2" w:space="0"/>
              <w:right w:val="single" w:color="auto" w:sz="2" w:space="0"/>
            </w:tcBorders>
            <w:vAlign w:val="center"/>
          </w:tcPr>
          <w:p w14:paraId="34FFA9D3">
            <w:pPr>
              <w:tabs>
                <w:tab w:val="left" w:pos="482"/>
              </w:tabs>
              <w:jc w:val="center"/>
              <w:textAlignment w:val="baseline"/>
              <w:rPr>
                <w:rFonts w:hint="eastAsia" w:ascii="仿宋" w:hAnsi="仿宋" w:eastAsia="仿宋" w:cs="仿宋_GB2312"/>
                <w:szCs w:val="21"/>
              </w:rPr>
            </w:pPr>
            <w:r>
              <w:rPr>
                <w:rFonts w:hint="eastAsia" w:ascii="仿宋" w:hAnsi="仿宋" w:eastAsia="仿宋" w:cs="仿宋_GB2312"/>
                <w:szCs w:val="21"/>
              </w:rPr>
              <w:t>参选报价评分标准(满分100分，权重60%)</w:t>
            </w:r>
          </w:p>
        </w:tc>
        <w:tc>
          <w:tcPr>
            <w:tcW w:w="2552" w:type="dxa"/>
            <w:vMerge w:val="restart"/>
            <w:tcBorders>
              <w:top w:val="single" w:color="auto" w:sz="2" w:space="0"/>
              <w:left w:val="single" w:color="auto" w:sz="2" w:space="0"/>
              <w:bottom w:val="single" w:color="auto" w:sz="2" w:space="0"/>
              <w:right w:val="single" w:color="auto" w:sz="2" w:space="0"/>
            </w:tcBorders>
            <w:vAlign w:val="center"/>
          </w:tcPr>
          <w:p w14:paraId="4F22C105">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评审价格评分</w:t>
            </w:r>
          </w:p>
          <w:p w14:paraId="0353AD98">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（满分90分）</w:t>
            </w:r>
          </w:p>
        </w:tc>
        <w:tc>
          <w:tcPr>
            <w:tcW w:w="5328" w:type="dxa"/>
            <w:tcBorders>
              <w:top w:val="single" w:color="auto" w:sz="2" w:space="0"/>
              <w:left w:val="single" w:color="auto" w:sz="2" w:space="0"/>
              <w:bottom w:val="single" w:color="auto" w:sz="2" w:space="0"/>
              <w:right w:val="single" w:color="auto" w:sz="2" w:space="0"/>
            </w:tcBorders>
            <w:vAlign w:val="center"/>
          </w:tcPr>
          <w:p w14:paraId="3C374C5A">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有效参选人评审价格等于评审基准价时，偏差=0，评审价格评分=90。</w:t>
            </w:r>
          </w:p>
        </w:tc>
      </w:tr>
      <w:tr w14:paraId="29A58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2AE93B5A">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5096B280">
            <w:pPr>
              <w:tabs>
                <w:tab w:val="left" w:pos="482"/>
              </w:tabs>
              <w:jc w:val="center"/>
              <w:textAlignment w:val="baseline"/>
              <w:rPr>
                <w:rFonts w:hint="eastAsia" w:ascii="仿宋" w:hAnsi="仿宋" w:eastAsia="仿宋" w:cs="仿宋_GB2312"/>
                <w:szCs w:val="21"/>
              </w:rPr>
            </w:pPr>
          </w:p>
        </w:tc>
        <w:tc>
          <w:tcPr>
            <w:tcW w:w="2552" w:type="dxa"/>
            <w:vMerge w:val="continue"/>
            <w:tcBorders>
              <w:top w:val="single" w:color="auto" w:sz="2" w:space="0"/>
              <w:left w:val="single" w:color="auto" w:sz="2" w:space="0"/>
              <w:bottom w:val="single" w:color="auto" w:sz="2" w:space="0"/>
              <w:right w:val="single" w:color="auto" w:sz="2" w:space="0"/>
            </w:tcBorders>
            <w:vAlign w:val="center"/>
          </w:tcPr>
          <w:p w14:paraId="404ACB4A">
            <w:pPr>
              <w:tabs>
                <w:tab w:val="left" w:pos="482"/>
              </w:tabs>
              <w:textAlignment w:val="baseline"/>
              <w:rPr>
                <w:rFonts w:hint="eastAsia" w:ascii="仿宋" w:hAnsi="仿宋" w:eastAsia="仿宋" w:cs="仿宋_GB2312"/>
                <w:szCs w:val="21"/>
              </w:rPr>
            </w:pPr>
          </w:p>
        </w:tc>
        <w:tc>
          <w:tcPr>
            <w:tcW w:w="5328" w:type="dxa"/>
            <w:tcBorders>
              <w:top w:val="single" w:color="auto" w:sz="2" w:space="0"/>
              <w:left w:val="single" w:color="auto" w:sz="2" w:space="0"/>
              <w:bottom w:val="single" w:color="auto" w:sz="2" w:space="0"/>
              <w:right w:val="single" w:color="auto" w:sz="2" w:space="0"/>
            </w:tcBorders>
            <w:vAlign w:val="center"/>
          </w:tcPr>
          <w:p w14:paraId="1065BA37">
            <w:pPr>
              <w:tabs>
                <w:tab w:val="left" w:pos="482"/>
              </w:tabs>
              <w:textAlignment w:val="baseline"/>
              <w:rPr>
                <w:rFonts w:hint="eastAsia" w:ascii="仿宋" w:hAnsi="仿宋" w:eastAsia="仿宋" w:cs="仿宋_GB2312"/>
                <w:szCs w:val="21"/>
                <w:lang w:eastAsia="zh-CN"/>
              </w:rPr>
            </w:pPr>
            <w:r>
              <w:rPr>
                <w:rFonts w:hint="eastAsia" w:ascii="仿宋" w:hAnsi="仿宋" w:eastAsia="仿宋" w:cs="仿宋_GB2312"/>
                <w:szCs w:val="21"/>
              </w:rPr>
              <w:t>有效参选人评审价格高于评审基准价时，评审价格评分=90-</w:t>
            </w:r>
            <w:r>
              <w:rPr>
                <w:rFonts w:hint="eastAsia" w:ascii="仿宋" w:hAnsi="仿宋" w:eastAsia="仿宋" w:cs="仿宋_GB2312"/>
                <w:szCs w:val="21"/>
                <w:lang w:val="en-US" w:eastAsia="zh-CN"/>
              </w:rPr>
              <w:t>2</w:t>
            </w:r>
            <w:r>
              <w:rPr>
                <w:rFonts w:hint="eastAsia" w:ascii="仿宋" w:hAnsi="仿宋" w:eastAsia="仿宋" w:cs="仿宋_GB2312"/>
                <w:szCs w:val="21"/>
              </w:rPr>
              <w:t>×偏差</w:t>
            </w:r>
            <w:r>
              <w:rPr>
                <w:rFonts w:hint="eastAsia" w:ascii="仿宋" w:hAnsi="仿宋" w:eastAsia="仿宋" w:cs="仿宋_GB2312"/>
                <w:szCs w:val="21"/>
                <w:lang w:eastAsia="zh-CN"/>
              </w:rPr>
              <w:t>。</w:t>
            </w:r>
            <w:bookmarkStart w:id="2" w:name="_GoBack"/>
            <w:bookmarkEnd w:id="2"/>
          </w:p>
        </w:tc>
      </w:tr>
      <w:tr w14:paraId="6AFD9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4EF002D2">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68A90E99">
            <w:pPr>
              <w:tabs>
                <w:tab w:val="left" w:pos="482"/>
              </w:tabs>
              <w:jc w:val="center"/>
              <w:textAlignment w:val="baseline"/>
              <w:rPr>
                <w:rFonts w:hint="eastAsia" w:ascii="仿宋" w:hAnsi="仿宋" w:eastAsia="仿宋" w:cs="仿宋_GB2312"/>
                <w:szCs w:val="21"/>
              </w:rPr>
            </w:pPr>
          </w:p>
        </w:tc>
        <w:tc>
          <w:tcPr>
            <w:tcW w:w="2552" w:type="dxa"/>
            <w:vMerge w:val="continue"/>
            <w:tcBorders>
              <w:top w:val="single" w:color="auto" w:sz="2" w:space="0"/>
              <w:left w:val="single" w:color="auto" w:sz="2" w:space="0"/>
              <w:bottom w:val="single" w:color="auto" w:sz="2" w:space="0"/>
              <w:right w:val="single" w:color="auto" w:sz="2" w:space="0"/>
            </w:tcBorders>
            <w:vAlign w:val="center"/>
          </w:tcPr>
          <w:p w14:paraId="38A1FB65">
            <w:pPr>
              <w:tabs>
                <w:tab w:val="left" w:pos="482"/>
              </w:tabs>
              <w:textAlignment w:val="baseline"/>
              <w:rPr>
                <w:rFonts w:hint="eastAsia" w:ascii="仿宋" w:hAnsi="仿宋" w:eastAsia="仿宋" w:cs="仿宋_GB2312"/>
                <w:szCs w:val="21"/>
              </w:rPr>
            </w:pPr>
          </w:p>
        </w:tc>
        <w:tc>
          <w:tcPr>
            <w:tcW w:w="5328" w:type="dxa"/>
            <w:tcBorders>
              <w:top w:val="single" w:color="auto" w:sz="2" w:space="0"/>
              <w:left w:val="single" w:color="auto" w:sz="2" w:space="0"/>
              <w:bottom w:val="single" w:color="auto" w:sz="2" w:space="0"/>
              <w:right w:val="single" w:color="auto" w:sz="2" w:space="0"/>
            </w:tcBorders>
            <w:vAlign w:val="center"/>
          </w:tcPr>
          <w:p w14:paraId="3936162D">
            <w:pPr>
              <w:tabs>
                <w:tab w:val="left" w:pos="482"/>
              </w:tabs>
              <w:textAlignment w:val="baseline"/>
              <w:rPr>
                <w:rFonts w:hint="eastAsia" w:ascii="仿宋" w:hAnsi="仿宋" w:eastAsia="仿宋" w:cs="仿宋_GB2312"/>
                <w:szCs w:val="21"/>
                <w:lang w:eastAsia="zh-CN"/>
              </w:rPr>
            </w:pPr>
            <w:r>
              <w:rPr>
                <w:rFonts w:hint="eastAsia" w:ascii="仿宋" w:hAnsi="仿宋" w:eastAsia="仿宋" w:cs="仿宋_GB2312"/>
                <w:szCs w:val="21"/>
              </w:rPr>
              <w:t>有效参选人评审价格低于评审基准价时，评审价格评分=90+</w:t>
            </w:r>
            <w:r>
              <w:rPr>
                <w:rFonts w:hint="eastAsia" w:ascii="仿宋" w:hAnsi="仿宋" w:eastAsia="仿宋" w:cs="仿宋_GB2312"/>
                <w:szCs w:val="21"/>
                <w:lang w:val="en-US" w:eastAsia="zh-CN"/>
              </w:rPr>
              <w:t>1</w:t>
            </w:r>
            <w:r>
              <w:rPr>
                <w:rFonts w:hint="eastAsia" w:ascii="仿宋" w:hAnsi="仿宋" w:eastAsia="仿宋" w:cs="仿宋_GB2312"/>
                <w:szCs w:val="21"/>
              </w:rPr>
              <w:t>×偏差</w:t>
            </w:r>
            <w:r>
              <w:rPr>
                <w:rFonts w:hint="eastAsia" w:ascii="仿宋" w:hAnsi="仿宋" w:eastAsia="仿宋" w:cs="仿宋_GB2312"/>
                <w:szCs w:val="21"/>
                <w:lang w:eastAsia="zh-CN"/>
              </w:rPr>
              <w:t>。</w:t>
            </w:r>
          </w:p>
        </w:tc>
      </w:tr>
      <w:tr w14:paraId="288FB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16" w:hRule="atLeast"/>
        </w:trPr>
        <w:tc>
          <w:tcPr>
            <w:tcW w:w="606" w:type="dxa"/>
            <w:vMerge w:val="continue"/>
            <w:tcBorders>
              <w:top w:val="single" w:color="auto" w:sz="2" w:space="0"/>
              <w:left w:val="single" w:color="auto" w:sz="2" w:space="0"/>
              <w:bottom w:val="single" w:color="auto" w:sz="2" w:space="0"/>
              <w:right w:val="single" w:color="auto" w:sz="2" w:space="0"/>
            </w:tcBorders>
            <w:vAlign w:val="center"/>
          </w:tcPr>
          <w:p w14:paraId="1D943FD2">
            <w:pPr>
              <w:tabs>
                <w:tab w:val="left" w:pos="482"/>
              </w:tabs>
              <w:jc w:val="center"/>
              <w:textAlignment w:val="baseline"/>
              <w:rPr>
                <w:rFonts w:hint="eastAsia" w:ascii="仿宋" w:hAnsi="仿宋" w:eastAsia="仿宋" w:cs="仿宋_GB2312"/>
                <w:szCs w:val="21"/>
              </w:rPr>
            </w:pPr>
          </w:p>
        </w:tc>
        <w:tc>
          <w:tcPr>
            <w:tcW w:w="1092" w:type="dxa"/>
            <w:vMerge w:val="continue"/>
            <w:tcBorders>
              <w:top w:val="single" w:color="auto" w:sz="2" w:space="0"/>
              <w:left w:val="single" w:color="auto" w:sz="2" w:space="0"/>
              <w:bottom w:val="single" w:color="auto" w:sz="2" w:space="0"/>
              <w:right w:val="single" w:color="auto" w:sz="2" w:space="0"/>
            </w:tcBorders>
            <w:vAlign w:val="center"/>
          </w:tcPr>
          <w:p w14:paraId="5B610B77">
            <w:pPr>
              <w:tabs>
                <w:tab w:val="left" w:pos="482"/>
              </w:tabs>
              <w:jc w:val="center"/>
              <w:textAlignment w:val="baseline"/>
              <w:rPr>
                <w:rFonts w:hint="eastAsia" w:ascii="仿宋" w:hAnsi="仿宋" w:eastAsia="仿宋" w:cs="仿宋_GB2312"/>
                <w:szCs w:val="21"/>
              </w:rPr>
            </w:pPr>
          </w:p>
        </w:tc>
        <w:tc>
          <w:tcPr>
            <w:tcW w:w="2552" w:type="dxa"/>
            <w:tcBorders>
              <w:top w:val="single" w:color="auto" w:sz="2" w:space="0"/>
              <w:left w:val="single" w:color="auto" w:sz="2" w:space="0"/>
              <w:bottom w:val="single" w:color="auto" w:sz="2" w:space="0"/>
              <w:right w:val="single" w:color="auto" w:sz="2" w:space="0"/>
            </w:tcBorders>
            <w:vAlign w:val="center"/>
          </w:tcPr>
          <w:p w14:paraId="3501CC91">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报价合理性评分</w:t>
            </w:r>
          </w:p>
          <w:p w14:paraId="2111A594">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（满分10分）</w:t>
            </w:r>
          </w:p>
        </w:tc>
        <w:tc>
          <w:tcPr>
            <w:tcW w:w="5328" w:type="dxa"/>
            <w:tcBorders>
              <w:top w:val="single" w:color="auto" w:sz="2" w:space="0"/>
              <w:left w:val="single" w:color="auto" w:sz="2" w:space="0"/>
              <w:bottom w:val="single" w:color="auto" w:sz="2" w:space="0"/>
              <w:right w:val="single" w:color="auto" w:sz="2" w:space="0"/>
            </w:tcBorders>
            <w:vAlign w:val="center"/>
          </w:tcPr>
          <w:p w14:paraId="3D09DC82">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计算误差率超过0.5%，扣1分；</w:t>
            </w:r>
          </w:p>
          <w:p w14:paraId="3E5D347A">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报价与有效参选人平均报价或市场价格水平比较偏差较大，存在不平衡报价的，出现一处扣1分；</w:t>
            </w:r>
          </w:p>
          <w:p w14:paraId="18B31094">
            <w:pPr>
              <w:tabs>
                <w:tab w:val="left" w:pos="482"/>
              </w:tabs>
              <w:textAlignment w:val="baseline"/>
              <w:rPr>
                <w:rFonts w:hint="eastAsia" w:ascii="仿宋" w:hAnsi="仿宋" w:eastAsia="仿宋" w:cs="仿宋_GB2312"/>
                <w:szCs w:val="21"/>
              </w:rPr>
            </w:pPr>
            <w:r>
              <w:rPr>
                <w:rFonts w:hint="eastAsia" w:ascii="仿宋" w:hAnsi="仿宋" w:eastAsia="仿宋" w:cs="仿宋_GB2312"/>
                <w:szCs w:val="21"/>
              </w:rPr>
              <w:t>以上扣分累计，满分扣完为止。</w:t>
            </w:r>
          </w:p>
        </w:tc>
      </w:tr>
    </w:tbl>
    <w:p w14:paraId="2BC326DE">
      <w:pPr>
        <w:spacing w:line="520" w:lineRule="exact"/>
        <w:ind w:firstLine="560" w:firstLineChars="200"/>
      </w:pPr>
      <w:r>
        <w:rPr>
          <w:rFonts w:hint="eastAsia" w:ascii="仿宋" w:hAnsi="仿宋" w:eastAsia="仿宋" w:cs="仿宋"/>
          <w:bCs/>
          <w:color w:val="000000"/>
          <w:kern w:val="0"/>
          <w:sz w:val="28"/>
          <w:szCs w:val="28"/>
        </w:rPr>
        <w:t>3、参选人不能修正或撤销响应文件重大偏差。比选人允许响应文件有微小的不正规、不一致或不规则，而该微小之处不构成重大偏差。</w:t>
      </w:r>
    </w:p>
    <w:p w14:paraId="78B6EE95">
      <w:pPr>
        <w:numPr>
          <w:ilvl w:val="255"/>
          <w:numId w:val="0"/>
        </w:num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4、当通过资格审查和符合性审查的参选人不足3家时，本次比选活动终止。</w:t>
      </w:r>
    </w:p>
    <w:p w14:paraId="1C03191C">
      <w:pPr>
        <w:wordWrap w:val="0"/>
        <w:spacing w:line="520" w:lineRule="exact"/>
        <w:ind w:firstLine="560" w:firstLineChars="200"/>
        <w:outlineLvl w:val="1"/>
        <w:rPr>
          <w:rFonts w:hint="eastAsia" w:ascii="楷体" w:hAnsi="楷体" w:eastAsia="楷体" w:cs="楷体"/>
          <w:bCs/>
          <w:sz w:val="28"/>
          <w:szCs w:val="28"/>
        </w:rPr>
      </w:pPr>
      <w:r>
        <w:rPr>
          <w:rFonts w:hint="eastAsia" w:ascii="楷体" w:hAnsi="楷体" w:eastAsia="楷体" w:cs="楷体"/>
          <w:bCs/>
          <w:color w:val="000000"/>
          <w:kern w:val="0"/>
          <w:sz w:val="28"/>
          <w:szCs w:val="28"/>
        </w:rPr>
        <w:t>（二）</w:t>
      </w:r>
      <w:r>
        <w:rPr>
          <w:rFonts w:hint="eastAsia" w:ascii="楷体" w:hAnsi="楷体" w:eastAsia="楷体" w:cs="楷体"/>
          <w:bCs/>
          <w:sz w:val="28"/>
          <w:szCs w:val="28"/>
        </w:rPr>
        <w:t>答疑、澄清和调整报价</w:t>
      </w:r>
    </w:p>
    <w:p w14:paraId="3DE70776">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评审小组对通过资格审查和符合性审查的响应文件进行详细审查，就文件审查中发现的需要参选人答疑、澄清的内容，并向其发出澄清通知，要求参选人在规定时间内提交澄清函回函，若参选人在规定时间内未提交澄清函回函，将视为放弃澄清，逾后评审小组也将不予接收。比选内容有实质性变动的，评审小组将以书面形式通知所有参选人。</w:t>
      </w:r>
    </w:p>
    <w:p w14:paraId="63160DDC">
      <w:pPr>
        <w:wordWrap w:val="0"/>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响应文件中有含义不明确、同类问题表述不一致或有明显文字和计算错误的内容，评审小组应要求参选人在规定时间内进行澄清、说明和补正，经过调价的须在限定时间内提交密封后的调整报价单，参选人澄清、说明、补正和调整报价单的内容应由法定代表人（单位负责人）或其授权的代理人签字捺印或加盖公章。澄清、说明和补正的内容作为响应文件的组成部分。</w:t>
      </w:r>
    </w:p>
    <w:p w14:paraId="601EA283">
      <w:pPr>
        <w:pStyle w:val="5"/>
        <w:spacing w:line="520" w:lineRule="exact"/>
        <w:ind w:firstLine="560"/>
        <w:rPr>
          <w:rFonts w:hint="eastAsia" w:ascii="仿宋" w:hAnsi="仿宋" w:eastAsia="仿宋" w:cs="仿宋"/>
          <w:bCs/>
          <w:lang w:val="en-US"/>
        </w:rPr>
      </w:pPr>
      <w:r>
        <w:rPr>
          <w:rFonts w:hint="eastAsia" w:ascii="仿宋" w:hAnsi="仿宋" w:eastAsia="仿宋" w:cs="仿宋"/>
          <w:bCs/>
          <w:lang w:val="en-US"/>
        </w:rPr>
        <w:t>响应人如有串通、弄虚作假、行贿等违法行为的，其响应文件将被视为无效，评审小组应告知有关参选人。</w:t>
      </w:r>
    </w:p>
    <w:p w14:paraId="124D6385">
      <w:pPr>
        <w:spacing w:line="520" w:lineRule="exact"/>
        <w:ind w:firstLine="560" w:firstLineChars="200"/>
        <w:outlineLvl w:val="1"/>
        <w:rPr>
          <w:rFonts w:hint="eastAsia" w:ascii="楷体" w:hAnsi="楷体" w:eastAsia="楷体" w:cs="楷体"/>
          <w:bCs/>
          <w:color w:val="000000"/>
          <w:kern w:val="0"/>
          <w:sz w:val="28"/>
          <w:szCs w:val="28"/>
        </w:rPr>
      </w:pPr>
      <w:r>
        <w:rPr>
          <w:rFonts w:hint="eastAsia" w:ascii="楷体" w:hAnsi="楷体" w:eastAsia="楷体" w:cs="楷体"/>
          <w:bCs/>
          <w:color w:val="000000"/>
          <w:kern w:val="0"/>
          <w:sz w:val="28"/>
          <w:szCs w:val="28"/>
        </w:rPr>
        <w:t>（三）响应文件最终评审</w:t>
      </w:r>
    </w:p>
    <w:p w14:paraId="3DEF9652">
      <w:pPr>
        <w:spacing w:line="520" w:lineRule="exact"/>
        <w:ind w:firstLine="560" w:firstLineChars="200"/>
        <w:rPr>
          <w:rFonts w:hint="eastAsia" w:ascii="仿宋" w:hAnsi="仿宋" w:eastAsia="仿宋" w:cs="仿宋"/>
          <w:bCs/>
          <w:kern w:val="0"/>
          <w:sz w:val="28"/>
          <w:szCs w:val="28"/>
        </w:rPr>
      </w:pPr>
      <w:r>
        <w:rPr>
          <w:rFonts w:hint="eastAsia" w:ascii="仿宋" w:hAnsi="仿宋" w:eastAsia="仿宋" w:cs="仿宋"/>
          <w:bCs/>
          <w:kern w:val="0"/>
          <w:sz w:val="28"/>
          <w:szCs w:val="28"/>
        </w:rPr>
        <w:t>评审小组成员完成资格审查</w:t>
      </w:r>
      <w:r>
        <w:rPr>
          <w:rFonts w:hint="eastAsia" w:ascii="仿宋" w:hAnsi="仿宋" w:eastAsia="仿宋" w:cs="仿宋"/>
          <w:bCs/>
          <w:sz w:val="28"/>
          <w:szCs w:val="28"/>
        </w:rPr>
        <w:t>、现场或视频连线方式与响应人一至两轮调价</w:t>
      </w:r>
      <w:r>
        <w:rPr>
          <w:rFonts w:hint="eastAsia" w:ascii="仿宋" w:hAnsi="仿宋" w:eastAsia="仿宋" w:cs="仿宋"/>
          <w:bCs/>
          <w:kern w:val="0"/>
          <w:sz w:val="28"/>
          <w:szCs w:val="28"/>
        </w:rPr>
        <w:t>流程后，对响应文件进行最终评审。对技术、商务资信、最终报价进行评分，根据评分由高到低进行排名，推荐最终评分最高的参选人为候选成交人。</w:t>
      </w:r>
    </w:p>
    <w:p w14:paraId="2B6699B0">
      <w:pPr>
        <w:spacing w:line="520" w:lineRule="exact"/>
        <w:ind w:firstLine="562" w:firstLineChars="200"/>
        <w:outlineLvl w:val="0"/>
        <w:rPr>
          <w:rFonts w:hint="eastAsia" w:ascii="仿宋" w:hAnsi="仿宋" w:eastAsia="仿宋" w:cs="仿宋"/>
          <w:b/>
          <w:kern w:val="0"/>
          <w:sz w:val="28"/>
          <w:szCs w:val="28"/>
        </w:rPr>
      </w:pPr>
      <w:r>
        <w:rPr>
          <w:rFonts w:hint="eastAsia" w:ascii="仿宋" w:hAnsi="仿宋" w:eastAsia="仿宋" w:cs="仿宋"/>
          <w:b/>
          <w:kern w:val="0"/>
          <w:sz w:val="28"/>
          <w:szCs w:val="28"/>
        </w:rPr>
        <w:t>六、评审报告</w:t>
      </w:r>
    </w:p>
    <w:p w14:paraId="1A22BCDF">
      <w:pPr>
        <w:spacing w:line="520" w:lineRule="exact"/>
        <w:ind w:firstLine="560" w:firstLineChars="200"/>
        <w:rPr>
          <w:rFonts w:hint="eastAsia" w:ascii="仿宋" w:hAnsi="仿宋" w:eastAsia="仿宋" w:cs="仿宋"/>
          <w:bCs/>
          <w:kern w:val="0"/>
          <w:sz w:val="28"/>
          <w:szCs w:val="28"/>
        </w:rPr>
      </w:pPr>
      <w:r>
        <w:rPr>
          <w:rFonts w:hint="eastAsia" w:ascii="楷体" w:hAnsi="楷体" w:eastAsia="楷体" w:cs="楷体"/>
          <w:bCs/>
          <w:kern w:val="0"/>
          <w:sz w:val="28"/>
          <w:szCs w:val="28"/>
        </w:rPr>
        <w:t>（一） 评审小组根据评审情况和结果，向比选人提交评审报告</w:t>
      </w:r>
      <w:r>
        <w:rPr>
          <w:rFonts w:hint="eastAsia" w:ascii="仿宋" w:hAnsi="仿宋" w:eastAsia="仿宋" w:cs="仿宋"/>
          <w:bCs/>
          <w:kern w:val="0"/>
          <w:sz w:val="28"/>
          <w:szCs w:val="28"/>
        </w:rPr>
        <w:t>。评审报告由评审小组起草，评审小组全体成员应在报告上签字确认，评审专家如有保留意见可以在报告中阐明。</w:t>
      </w:r>
    </w:p>
    <w:p w14:paraId="41B478E0">
      <w:pPr>
        <w:spacing w:line="520" w:lineRule="exact"/>
        <w:ind w:firstLine="560" w:firstLineChars="200"/>
        <w:rPr>
          <w:rFonts w:hint="eastAsia" w:ascii="仿宋" w:hAnsi="仿宋" w:eastAsia="仿宋" w:cs="仿宋"/>
          <w:bCs/>
          <w:kern w:val="0"/>
          <w:sz w:val="28"/>
          <w:szCs w:val="28"/>
        </w:rPr>
      </w:pPr>
      <w:r>
        <w:rPr>
          <w:rFonts w:hint="eastAsia" w:ascii="仿宋" w:hAnsi="仿宋" w:eastAsia="仿宋" w:cs="仿宋"/>
          <w:bCs/>
          <w:kern w:val="0"/>
          <w:sz w:val="28"/>
          <w:szCs w:val="28"/>
        </w:rPr>
        <w:t>（二）</w:t>
      </w:r>
      <w:r>
        <w:rPr>
          <w:rFonts w:hint="eastAsia" w:ascii="楷体" w:hAnsi="楷体" w:eastAsia="楷体" w:cs="楷体"/>
          <w:bCs/>
          <w:kern w:val="0"/>
          <w:sz w:val="28"/>
          <w:szCs w:val="28"/>
        </w:rPr>
        <w:t>评审小组在报告中根据最终评分排序推荐评分最高的为候选成交响应人</w:t>
      </w:r>
      <w:r>
        <w:rPr>
          <w:rFonts w:hint="eastAsia" w:ascii="仿宋" w:hAnsi="仿宋" w:eastAsia="仿宋" w:cs="仿宋"/>
          <w:bCs/>
          <w:kern w:val="0"/>
          <w:sz w:val="28"/>
          <w:szCs w:val="28"/>
        </w:rPr>
        <w:t>。当最终评分相同时，以报价低者优先；如果报价也相同，由评审小组进行记名投票，得票多者优先。投票出现得票相同时，对得票相等人员进行第二轮投票，以第二轮得票多者确定结果；再次投票仍得票相同，提交本单位领导班子研究审定。</w:t>
      </w:r>
    </w:p>
    <w:p w14:paraId="438DF640">
      <w:pPr>
        <w:spacing w:line="520" w:lineRule="exact"/>
        <w:ind w:firstLine="560" w:firstLineChars="200"/>
        <w:rPr>
          <w:rFonts w:hint="eastAsia" w:ascii="楷体" w:hAnsi="楷体" w:eastAsia="楷体" w:cs="楷体"/>
          <w:bCs/>
          <w:color w:val="000000"/>
          <w:kern w:val="0"/>
          <w:sz w:val="28"/>
          <w:szCs w:val="28"/>
        </w:rPr>
      </w:pPr>
      <w:r>
        <w:rPr>
          <w:rFonts w:hint="eastAsia" w:ascii="楷体" w:hAnsi="楷体" w:eastAsia="楷体" w:cs="楷体"/>
          <w:bCs/>
          <w:color w:val="000000"/>
          <w:kern w:val="0"/>
          <w:sz w:val="28"/>
          <w:szCs w:val="28"/>
        </w:rPr>
        <w:t>（三）评审报告应包括以下内容：</w:t>
      </w:r>
    </w:p>
    <w:p w14:paraId="382CDD07">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1、报价记录表</w:t>
      </w:r>
    </w:p>
    <w:p w14:paraId="2C281EF9">
      <w:pPr>
        <w:spacing w:line="520" w:lineRule="exact"/>
        <w:ind w:firstLine="560" w:firstLineChars="200"/>
        <w:rPr>
          <w:rFonts w:hint="eastAsia" w:ascii="仿宋" w:hAnsi="仿宋" w:eastAsia="仿宋" w:cs="仿宋"/>
          <w:bCs/>
          <w:color w:val="000000"/>
          <w:kern w:val="0"/>
          <w:sz w:val="28"/>
          <w:szCs w:val="28"/>
        </w:rPr>
      </w:pPr>
      <w:bookmarkStart w:id="1" w:name="_Hlk55983850"/>
      <w:r>
        <w:rPr>
          <w:rFonts w:hint="eastAsia" w:ascii="仿宋" w:hAnsi="仿宋" w:eastAsia="仿宋" w:cs="仿宋"/>
          <w:bCs/>
          <w:color w:val="000000"/>
          <w:kern w:val="0"/>
          <w:sz w:val="28"/>
          <w:szCs w:val="28"/>
        </w:rPr>
        <w:t>2、文件审查结果</w:t>
      </w:r>
    </w:p>
    <w:p w14:paraId="1A391099">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包括资格审查、算术错误检查、澄清问题及答复，若有响应文件被视为无效的应对其情况和依据进行说明；</w:t>
      </w:r>
    </w:p>
    <w:p w14:paraId="1A3E84C4">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3、比选过程和结果</w:t>
      </w:r>
    </w:p>
    <w:p w14:paraId="6B781C1B">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xml:space="preserve">最终评分由高到低排序； </w:t>
      </w:r>
    </w:p>
    <w:p w14:paraId="79DB2DE4">
      <w:pPr>
        <w:spacing w:line="520" w:lineRule="exact"/>
        <w:ind w:firstLine="560" w:firstLineChars="200"/>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4、推荐候选成交响应人。</w:t>
      </w:r>
    </w:p>
    <w:bookmarkEnd w:id="1"/>
    <w:p w14:paraId="687C8E38">
      <w:pPr>
        <w:spacing w:line="520" w:lineRule="exact"/>
        <w:outlineLvl w:val="0"/>
        <w:rPr>
          <w:rFonts w:hint="eastAsia" w:ascii="仿宋" w:hAnsi="仿宋" w:eastAsia="仿宋"/>
          <w:b/>
          <w:bCs/>
          <w:sz w:val="30"/>
          <w:szCs w:val="30"/>
        </w:rPr>
      </w:pPr>
      <w:r>
        <w:rPr>
          <w:rFonts w:hint="eastAsia" w:ascii="仿宋" w:hAnsi="仿宋" w:eastAsia="仿宋"/>
          <w:b/>
          <w:bCs/>
          <w:sz w:val="30"/>
          <w:szCs w:val="30"/>
        </w:rPr>
        <w:t>七、成交人确定</w:t>
      </w:r>
    </w:p>
    <w:p w14:paraId="0D68E711">
      <w:pPr>
        <w:wordWrap w:val="0"/>
        <w:spacing w:line="520" w:lineRule="exact"/>
        <w:ind w:firstLine="560" w:firstLineChars="200"/>
        <w:rPr>
          <w:sz w:val="28"/>
          <w:szCs w:val="28"/>
        </w:rPr>
      </w:pPr>
      <w:r>
        <w:rPr>
          <w:rFonts w:hint="eastAsia" w:ascii="仿宋" w:hAnsi="仿宋" w:eastAsia="仿宋" w:cs="仿宋"/>
          <w:bCs/>
          <w:sz w:val="28"/>
          <w:szCs w:val="28"/>
        </w:rPr>
        <w:t>评审小组</w:t>
      </w:r>
      <w:r>
        <w:rPr>
          <w:rFonts w:hint="eastAsia" w:ascii="仿宋" w:hAnsi="仿宋" w:eastAsia="仿宋"/>
          <w:sz w:val="28"/>
          <w:szCs w:val="28"/>
        </w:rPr>
        <w:t>将评审结果及推荐意见报公司分管领导审核，经分管领导、单位负责人签字后确认。</w:t>
      </w:r>
    </w:p>
    <w:p w14:paraId="0C754029">
      <w:pPr>
        <w:spacing w:line="520" w:lineRule="exact"/>
        <w:outlineLvl w:val="0"/>
        <w:rPr>
          <w:rFonts w:hint="eastAsia" w:ascii="仿宋" w:hAnsi="仿宋" w:eastAsia="仿宋" w:cs="仿宋"/>
          <w:b/>
          <w:bCs/>
          <w:sz w:val="30"/>
          <w:szCs w:val="30"/>
        </w:rPr>
      </w:pPr>
      <w:r>
        <w:rPr>
          <w:rFonts w:hint="eastAsia" w:ascii="仿宋" w:hAnsi="仿宋" w:eastAsia="仿宋" w:cs="仿宋"/>
          <w:b/>
          <w:bCs/>
          <w:sz w:val="30"/>
          <w:szCs w:val="30"/>
        </w:rPr>
        <w:t>八、其他事项</w:t>
      </w:r>
    </w:p>
    <w:p w14:paraId="092B153A">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sz w:val="28"/>
          <w:szCs w:val="28"/>
        </w:rPr>
        <w:t>（一）在</w:t>
      </w:r>
      <w:r>
        <w:rPr>
          <w:rFonts w:hint="eastAsia" w:ascii="仿宋" w:hAnsi="仿宋" w:eastAsia="仿宋" w:cs="仿宋"/>
          <w:bCs/>
          <w:sz w:val="28"/>
          <w:szCs w:val="28"/>
        </w:rPr>
        <w:t>审查和评审期间，如有争议事项，</w:t>
      </w:r>
      <w:r>
        <w:rPr>
          <w:rFonts w:hint="eastAsia" w:ascii="仿宋" w:hAnsi="仿宋" w:eastAsia="仿宋" w:cs="仿宋"/>
          <w:sz w:val="28"/>
          <w:szCs w:val="28"/>
        </w:rPr>
        <w:t>按照少数服从多数的原则，</w:t>
      </w:r>
      <w:r>
        <w:rPr>
          <w:rFonts w:hint="eastAsia" w:ascii="仿宋" w:hAnsi="仿宋" w:eastAsia="仿宋" w:cs="仿宋"/>
          <w:bCs/>
          <w:sz w:val="28"/>
          <w:szCs w:val="28"/>
        </w:rPr>
        <w:t>须经三分之二及以上评审小组人员同意确定。</w:t>
      </w:r>
    </w:p>
    <w:p w14:paraId="54DA0B9D">
      <w:pPr>
        <w:numPr>
          <w:ilvl w:val="255"/>
          <w:numId w:val="0"/>
        </w:numPr>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（二）若公司认为参选人的价格、质量、技术标准及其他方面等未达到要求，经公司审批后可终结本次比选活动。</w:t>
      </w:r>
    </w:p>
    <w:p w14:paraId="4BFC730E">
      <w:pPr>
        <w:spacing w:line="520" w:lineRule="exact"/>
        <w:ind w:firstLine="3080" w:firstLineChars="1100"/>
        <w:rPr>
          <w:rFonts w:hint="eastAsia" w:ascii="楷体" w:hAnsi="楷体" w:eastAsia="楷体" w:cs="楷体"/>
          <w:sz w:val="28"/>
          <w:szCs w:val="28"/>
        </w:rPr>
      </w:pPr>
    </w:p>
    <w:p w14:paraId="2ED6C4F1">
      <w:pPr>
        <w:spacing w:line="480" w:lineRule="exact"/>
        <w:ind w:firstLine="2700" w:firstLineChars="900"/>
        <w:rPr>
          <w:rFonts w:hint="eastAsia" w:ascii="仿宋" w:hAnsi="仿宋" w:eastAsia="仿宋" w:cs="仿宋"/>
          <w:sz w:val="30"/>
          <w:szCs w:val="30"/>
        </w:rPr>
      </w:pPr>
    </w:p>
    <w:p w14:paraId="004E17C3">
      <w:pPr>
        <w:spacing w:line="480" w:lineRule="exact"/>
        <w:ind w:firstLine="3900" w:firstLineChars="1300"/>
        <w:rPr>
          <w:rFonts w:hint="eastAsia" w:ascii="仿宋" w:hAnsi="仿宋" w:eastAsia="仿宋" w:cs="仿宋"/>
          <w:sz w:val="30"/>
          <w:szCs w:val="30"/>
        </w:rPr>
      </w:pPr>
      <w:r>
        <w:rPr>
          <w:rFonts w:hint="eastAsia" w:ascii="仿宋" w:hAnsi="仿宋" w:eastAsia="仿宋" w:cs="仿宋"/>
          <w:sz w:val="30"/>
          <w:szCs w:val="30"/>
        </w:rPr>
        <w:t>四川水发建设有限公司机电安装分公司</w:t>
      </w:r>
    </w:p>
    <w:p w14:paraId="4EF24EE2">
      <w:pPr>
        <w:spacing w:line="480" w:lineRule="exact"/>
        <w:ind w:firstLine="5400" w:firstLineChars="1800"/>
        <w:rPr>
          <w:rFonts w:hint="eastAsia" w:ascii="仿宋" w:hAnsi="仿宋" w:eastAsia="仿宋" w:cs="仿宋"/>
          <w:sz w:val="30"/>
          <w:szCs w:val="30"/>
        </w:rPr>
      </w:pPr>
      <w:r>
        <w:rPr>
          <w:rFonts w:hint="eastAsia" w:ascii="仿宋" w:hAnsi="仿宋" w:eastAsia="仿宋" w:cs="仿宋"/>
          <w:sz w:val="30"/>
          <w:szCs w:val="30"/>
        </w:rPr>
        <w:t>2026年09月</w:t>
      </w:r>
      <w:r>
        <w:rPr>
          <w:rFonts w:hint="eastAsia" w:ascii="仿宋" w:hAnsi="仿宋" w:eastAsia="仿宋" w:cs="仿宋"/>
          <w:sz w:val="30"/>
          <w:szCs w:val="30"/>
          <w:lang w:val="en-US" w:eastAsia="zh-CN"/>
        </w:rPr>
        <w:t>14</w:t>
      </w:r>
      <w:r>
        <w:rPr>
          <w:rFonts w:hint="eastAsia" w:ascii="仿宋" w:hAnsi="仿宋" w:eastAsia="仿宋" w:cs="仿宋"/>
          <w:sz w:val="30"/>
          <w:szCs w:val="30"/>
        </w:rPr>
        <w:t>日</w:t>
      </w:r>
    </w:p>
    <w:sectPr>
      <w:footerReference r:id="rId3" w:type="default"/>
      <w:pgSz w:w="11906" w:h="16838"/>
      <w:pgMar w:top="1418" w:right="1418" w:bottom="1134" w:left="1418"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B49AB">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32ED3">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FF32ED3">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F6BC8"/>
    <w:multiLevelType w:val="singleLevel"/>
    <w:tmpl w:val="007F6BC8"/>
    <w:lvl w:ilvl="0" w:tentative="0">
      <w:start w:val="1"/>
      <w:numFmt w:val="decimal"/>
      <w:suff w:val="nothing"/>
      <w:lvlText w:val="%1、"/>
      <w:lvlJc w:val="left"/>
    </w:lvl>
  </w:abstractNum>
  <w:abstractNum w:abstractNumId="1">
    <w:nsid w:val="08F45C3F"/>
    <w:multiLevelType w:val="singleLevel"/>
    <w:tmpl w:val="08F45C3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5YTA4NzQwYTBiZWYxMWM0NzQ1NWYxMDk5ZjU3NjYifQ=="/>
    <w:docVar w:name="KSO_WPS_MARK_KEY" w:val="48813cde-70bb-45f1-99aa-3523384a61d3"/>
  </w:docVars>
  <w:rsids>
    <w:rsidRoot w:val="007C4761"/>
    <w:rsid w:val="00042130"/>
    <w:rsid w:val="00094550"/>
    <w:rsid w:val="00124C54"/>
    <w:rsid w:val="001F1C0F"/>
    <w:rsid w:val="001F3944"/>
    <w:rsid w:val="002329B9"/>
    <w:rsid w:val="00242625"/>
    <w:rsid w:val="00393357"/>
    <w:rsid w:val="003C7150"/>
    <w:rsid w:val="00426587"/>
    <w:rsid w:val="004F2933"/>
    <w:rsid w:val="005047D7"/>
    <w:rsid w:val="0065757C"/>
    <w:rsid w:val="00677C05"/>
    <w:rsid w:val="007C4761"/>
    <w:rsid w:val="00810C4F"/>
    <w:rsid w:val="008A6727"/>
    <w:rsid w:val="008A74EA"/>
    <w:rsid w:val="008B0E04"/>
    <w:rsid w:val="00916F74"/>
    <w:rsid w:val="00935E05"/>
    <w:rsid w:val="00943043"/>
    <w:rsid w:val="00990BB0"/>
    <w:rsid w:val="009A1636"/>
    <w:rsid w:val="009E611F"/>
    <w:rsid w:val="00A00CC3"/>
    <w:rsid w:val="00AC3AF8"/>
    <w:rsid w:val="00B1405B"/>
    <w:rsid w:val="00B838C0"/>
    <w:rsid w:val="00BA3E49"/>
    <w:rsid w:val="00D51D73"/>
    <w:rsid w:val="00DA58F0"/>
    <w:rsid w:val="00DC7EBF"/>
    <w:rsid w:val="00DE5189"/>
    <w:rsid w:val="00E0695C"/>
    <w:rsid w:val="00E85083"/>
    <w:rsid w:val="00EC7C5D"/>
    <w:rsid w:val="00F241DA"/>
    <w:rsid w:val="00F9368A"/>
    <w:rsid w:val="00F9468D"/>
    <w:rsid w:val="00FE0304"/>
    <w:rsid w:val="01136E98"/>
    <w:rsid w:val="01D44A05"/>
    <w:rsid w:val="02335472"/>
    <w:rsid w:val="04BA70F6"/>
    <w:rsid w:val="05342139"/>
    <w:rsid w:val="05406208"/>
    <w:rsid w:val="056D44AE"/>
    <w:rsid w:val="05757BCD"/>
    <w:rsid w:val="05A827C4"/>
    <w:rsid w:val="05C60E34"/>
    <w:rsid w:val="06903811"/>
    <w:rsid w:val="076F3E25"/>
    <w:rsid w:val="08570EF4"/>
    <w:rsid w:val="09FE43E2"/>
    <w:rsid w:val="0A3E680D"/>
    <w:rsid w:val="0A9C1C99"/>
    <w:rsid w:val="0CBD0354"/>
    <w:rsid w:val="0CFC2BFA"/>
    <w:rsid w:val="0D6E3D6B"/>
    <w:rsid w:val="0FFA3C1C"/>
    <w:rsid w:val="128A0E55"/>
    <w:rsid w:val="136D2DCD"/>
    <w:rsid w:val="1436664D"/>
    <w:rsid w:val="14B717CE"/>
    <w:rsid w:val="14CA2FA6"/>
    <w:rsid w:val="156C0112"/>
    <w:rsid w:val="15E437BB"/>
    <w:rsid w:val="169933BB"/>
    <w:rsid w:val="17101D9D"/>
    <w:rsid w:val="18666B15"/>
    <w:rsid w:val="1DDC3D91"/>
    <w:rsid w:val="1EB202A6"/>
    <w:rsid w:val="1F7B0172"/>
    <w:rsid w:val="20B661AD"/>
    <w:rsid w:val="20FF6EEB"/>
    <w:rsid w:val="22206424"/>
    <w:rsid w:val="22F67B75"/>
    <w:rsid w:val="23D97953"/>
    <w:rsid w:val="243E0CF8"/>
    <w:rsid w:val="24717353"/>
    <w:rsid w:val="24807752"/>
    <w:rsid w:val="24CF0587"/>
    <w:rsid w:val="26564431"/>
    <w:rsid w:val="26E821BF"/>
    <w:rsid w:val="284B33DB"/>
    <w:rsid w:val="290043D2"/>
    <w:rsid w:val="293A1B92"/>
    <w:rsid w:val="29925DC1"/>
    <w:rsid w:val="29BD625F"/>
    <w:rsid w:val="2AC60E73"/>
    <w:rsid w:val="2AF23A16"/>
    <w:rsid w:val="2AF76F7E"/>
    <w:rsid w:val="2CB9188B"/>
    <w:rsid w:val="2FD62EC2"/>
    <w:rsid w:val="32E669D7"/>
    <w:rsid w:val="3393442D"/>
    <w:rsid w:val="34811253"/>
    <w:rsid w:val="37750CB2"/>
    <w:rsid w:val="39E967F2"/>
    <w:rsid w:val="39EA61E8"/>
    <w:rsid w:val="3AA765CB"/>
    <w:rsid w:val="3B023801"/>
    <w:rsid w:val="3B785512"/>
    <w:rsid w:val="3B975A81"/>
    <w:rsid w:val="3C924D97"/>
    <w:rsid w:val="3D163266"/>
    <w:rsid w:val="3D7D758E"/>
    <w:rsid w:val="3DE17472"/>
    <w:rsid w:val="3EB306BE"/>
    <w:rsid w:val="3EB649FF"/>
    <w:rsid w:val="3F46455B"/>
    <w:rsid w:val="3F4A786F"/>
    <w:rsid w:val="40171D0F"/>
    <w:rsid w:val="409D42C5"/>
    <w:rsid w:val="409E381B"/>
    <w:rsid w:val="410012B8"/>
    <w:rsid w:val="421D5924"/>
    <w:rsid w:val="4272038F"/>
    <w:rsid w:val="430302FB"/>
    <w:rsid w:val="45BA1971"/>
    <w:rsid w:val="45DC089A"/>
    <w:rsid w:val="46A37B03"/>
    <w:rsid w:val="4701608A"/>
    <w:rsid w:val="47FE781B"/>
    <w:rsid w:val="48E64762"/>
    <w:rsid w:val="49015673"/>
    <w:rsid w:val="49147FFE"/>
    <w:rsid w:val="4A1043C2"/>
    <w:rsid w:val="4A2029DB"/>
    <w:rsid w:val="4A717CC5"/>
    <w:rsid w:val="4B0D0316"/>
    <w:rsid w:val="4D1A0E7E"/>
    <w:rsid w:val="4E0209D4"/>
    <w:rsid w:val="4E5E3768"/>
    <w:rsid w:val="4EA529C9"/>
    <w:rsid w:val="502C7EEE"/>
    <w:rsid w:val="50C02C23"/>
    <w:rsid w:val="511F0CC1"/>
    <w:rsid w:val="51F75B85"/>
    <w:rsid w:val="527A6DD2"/>
    <w:rsid w:val="52F95B39"/>
    <w:rsid w:val="53746E0E"/>
    <w:rsid w:val="5399211F"/>
    <w:rsid w:val="53D62884"/>
    <w:rsid w:val="545B03E8"/>
    <w:rsid w:val="55BF0815"/>
    <w:rsid w:val="55C20045"/>
    <w:rsid w:val="55FC102D"/>
    <w:rsid w:val="564E7084"/>
    <w:rsid w:val="575650DF"/>
    <w:rsid w:val="585D2567"/>
    <w:rsid w:val="58A50F7B"/>
    <w:rsid w:val="593B4662"/>
    <w:rsid w:val="596A017F"/>
    <w:rsid w:val="596F4116"/>
    <w:rsid w:val="59C15B97"/>
    <w:rsid w:val="5B4205EE"/>
    <w:rsid w:val="5B8F590E"/>
    <w:rsid w:val="5C967219"/>
    <w:rsid w:val="5CDD5A24"/>
    <w:rsid w:val="5D3E38D1"/>
    <w:rsid w:val="5D637D55"/>
    <w:rsid w:val="5DCC0194"/>
    <w:rsid w:val="5E025FB7"/>
    <w:rsid w:val="5E626EE0"/>
    <w:rsid w:val="5E6F39A2"/>
    <w:rsid w:val="5F5D2E4C"/>
    <w:rsid w:val="5FB46F10"/>
    <w:rsid w:val="60D639F8"/>
    <w:rsid w:val="615716FD"/>
    <w:rsid w:val="62141908"/>
    <w:rsid w:val="624373B8"/>
    <w:rsid w:val="62444EA8"/>
    <w:rsid w:val="63AB643F"/>
    <w:rsid w:val="67145781"/>
    <w:rsid w:val="67D864CA"/>
    <w:rsid w:val="67DD2A83"/>
    <w:rsid w:val="68045B26"/>
    <w:rsid w:val="6A6E7BB3"/>
    <w:rsid w:val="6B23135A"/>
    <w:rsid w:val="6BD51F1C"/>
    <w:rsid w:val="6BE74762"/>
    <w:rsid w:val="6CA321BB"/>
    <w:rsid w:val="6CC9200E"/>
    <w:rsid w:val="6CCC0FBC"/>
    <w:rsid w:val="6CE81FA7"/>
    <w:rsid w:val="6D322230"/>
    <w:rsid w:val="6DCF3167"/>
    <w:rsid w:val="6E946B8C"/>
    <w:rsid w:val="6EDF38C6"/>
    <w:rsid w:val="702E154E"/>
    <w:rsid w:val="70D13125"/>
    <w:rsid w:val="71521EEF"/>
    <w:rsid w:val="71C331A1"/>
    <w:rsid w:val="71D647F6"/>
    <w:rsid w:val="729438D0"/>
    <w:rsid w:val="75F539B0"/>
    <w:rsid w:val="765E72C2"/>
    <w:rsid w:val="77295E0B"/>
    <w:rsid w:val="777E73AD"/>
    <w:rsid w:val="77F16B50"/>
    <w:rsid w:val="781A6BE9"/>
    <w:rsid w:val="78265BAF"/>
    <w:rsid w:val="78367D6E"/>
    <w:rsid w:val="7A9D45E0"/>
    <w:rsid w:val="7AFC4306"/>
    <w:rsid w:val="7D157F4F"/>
    <w:rsid w:val="7D560909"/>
    <w:rsid w:val="7D626E50"/>
    <w:rsid w:val="7D8A76CB"/>
    <w:rsid w:val="7DDE6EB4"/>
    <w:rsid w:val="7E7E0F36"/>
    <w:rsid w:val="F7777A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3"/>
    <w:qFormat/>
    <w:uiPriority w:val="0"/>
    <w:pPr>
      <w:keepNext/>
      <w:keepLines/>
      <w:spacing w:before="340" w:after="330" w:line="480" w:lineRule="auto"/>
      <w:outlineLvl w:val="0"/>
    </w:pPr>
    <w:rPr>
      <w:b/>
      <w:bCs/>
      <w:kern w:val="44"/>
      <w:sz w:val="44"/>
      <w:szCs w:val="44"/>
    </w:rPr>
  </w:style>
  <w:style w:type="paragraph" w:styleId="3">
    <w:name w:val="heading 2"/>
    <w:basedOn w:val="1"/>
    <w:next w:val="4"/>
    <w:qFormat/>
    <w:uiPriority w:val="0"/>
    <w:pPr>
      <w:keepNext/>
      <w:keepLines/>
      <w:spacing w:line="360" w:lineRule="auto"/>
      <w:outlineLvl w:val="1"/>
    </w:pPr>
    <w:rPr>
      <w:rFonts w:ascii="Cambria" w:hAnsi="Cambria"/>
      <w:b/>
      <w:bCs/>
      <w:sz w:val="30"/>
      <w:szCs w:val="32"/>
    </w:rPr>
  </w:style>
  <w:style w:type="paragraph" w:styleId="4">
    <w:name w:val="heading 3"/>
    <w:basedOn w:val="1"/>
    <w:next w:val="1"/>
    <w:qFormat/>
    <w:uiPriority w:val="99"/>
    <w:pPr>
      <w:keepNext/>
      <w:keepLines/>
      <w:spacing w:line="360" w:lineRule="auto"/>
      <w:outlineLvl w:val="2"/>
    </w:pPr>
    <w:rPr>
      <w:rFonts w:ascii="仿宋" w:hAnsi="仿宋" w:eastAsia="仿宋"/>
      <w:b/>
      <w:kern w:val="0"/>
      <w:sz w:val="28"/>
      <w:szCs w:val="28"/>
    </w:rPr>
  </w:style>
  <w:style w:type="paragraph" w:styleId="5">
    <w:name w:val="heading 4"/>
    <w:basedOn w:val="1"/>
    <w:next w:val="1"/>
    <w:qFormat/>
    <w:uiPriority w:val="0"/>
    <w:pPr>
      <w:spacing w:line="360" w:lineRule="auto"/>
      <w:ind w:firstLine="200" w:firstLineChars="200"/>
      <w:outlineLvl w:val="3"/>
    </w:pPr>
    <w:rPr>
      <w:rFonts w:ascii="黑体" w:hAnsi="黑体" w:eastAsia="黑体" w:cs="黑体"/>
      <w:sz w:val="28"/>
      <w:szCs w:val="28"/>
      <w:lang w:val="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22"/>
    <w:qFormat/>
    <w:uiPriority w:val="99"/>
    <w:rPr>
      <w:rFonts w:ascii="宋体"/>
      <w:sz w:val="18"/>
      <w:szCs w:val="18"/>
    </w:rPr>
  </w:style>
  <w:style w:type="paragraph" w:styleId="7">
    <w:name w:val="annotation text"/>
    <w:basedOn w:val="1"/>
    <w:qFormat/>
    <w:uiPriority w:val="0"/>
    <w:pPr>
      <w:jc w:val="left"/>
    </w:pPr>
  </w:style>
  <w:style w:type="paragraph" w:styleId="8">
    <w:name w:val="Body Text"/>
    <w:basedOn w:val="1"/>
    <w:link w:val="23"/>
    <w:qFormat/>
    <w:uiPriority w:val="0"/>
    <w:pPr>
      <w:widowControl/>
      <w:spacing w:after="120" w:line="360" w:lineRule="auto"/>
      <w:jc w:val="left"/>
    </w:pPr>
    <w:rPr>
      <w:rFonts w:cs="Calibri"/>
      <w:sz w:val="28"/>
      <w:szCs w:val="24"/>
    </w:rPr>
  </w:style>
  <w:style w:type="paragraph" w:styleId="9">
    <w:name w:val="Body Text Indent"/>
    <w:basedOn w:val="1"/>
    <w:next w:val="10"/>
    <w:link w:val="24"/>
    <w:qFormat/>
    <w:uiPriority w:val="0"/>
    <w:pPr>
      <w:widowControl/>
      <w:spacing w:after="120" w:line="360" w:lineRule="auto"/>
      <w:ind w:left="200" w:leftChars="200"/>
      <w:jc w:val="left"/>
    </w:pPr>
    <w:rPr>
      <w:rFonts w:cs="Calibri"/>
      <w:sz w:val="28"/>
    </w:rPr>
  </w:style>
  <w:style w:type="paragraph" w:styleId="10">
    <w:name w:val="Body Text Indent 2"/>
    <w:basedOn w:val="1"/>
    <w:next w:val="11"/>
    <w:unhideWhenUsed/>
    <w:qFormat/>
    <w:uiPriority w:val="0"/>
    <w:pPr>
      <w:spacing w:after="120" w:line="480" w:lineRule="auto"/>
      <w:ind w:left="420" w:leftChars="200"/>
    </w:pPr>
  </w:style>
  <w:style w:type="paragraph" w:styleId="11">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2">
    <w:name w:val="Balloon Text"/>
    <w:basedOn w:val="1"/>
    <w:link w:val="21"/>
    <w:qFormat/>
    <w:uiPriority w:val="99"/>
    <w:rPr>
      <w:sz w:val="18"/>
      <w:szCs w:val="18"/>
    </w:rPr>
  </w:style>
  <w:style w:type="paragraph" w:styleId="13">
    <w:name w:val="footer"/>
    <w:basedOn w:val="1"/>
    <w:link w:val="20"/>
    <w:qFormat/>
    <w:uiPriority w:val="99"/>
    <w:pPr>
      <w:tabs>
        <w:tab w:val="center" w:pos="4153"/>
        <w:tab w:val="right" w:pos="8306"/>
      </w:tabs>
      <w:snapToGrid w:val="0"/>
      <w:jc w:val="left"/>
    </w:pPr>
    <w:rPr>
      <w:sz w:val="18"/>
      <w:szCs w:val="18"/>
    </w:rPr>
  </w:style>
  <w:style w:type="paragraph" w:styleId="14">
    <w:name w:val="table of figures"/>
    <w:basedOn w:val="1"/>
    <w:next w:val="1"/>
    <w:qFormat/>
    <w:uiPriority w:val="0"/>
    <w:pPr>
      <w:jc w:val="center"/>
    </w:pPr>
    <w:rPr>
      <w:szCs w:val="21"/>
    </w:rPr>
  </w:style>
  <w:style w:type="paragraph" w:styleId="15">
    <w:name w:val="Body Text First Indent 2"/>
    <w:basedOn w:val="9"/>
    <w:next w:val="8"/>
    <w:qFormat/>
    <w:uiPriority w:val="0"/>
    <w:pPr>
      <w:ind w:left="420" w:firstLine="420" w:firstLineChars="200"/>
    </w:pPr>
    <w:rPr>
      <w:sz w:val="21"/>
      <w:szCs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页眉 字符"/>
    <w:basedOn w:val="18"/>
    <w:link w:val="11"/>
    <w:qFormat/>
    <w:uiPriority w:val="99"/>
    <w:rPr>
      <w:sz w:val="18"/>
      <w:szCs w:val="18"/>
    </w:rPr>
  </w:style>
  <w:style w:type="character" w:customStyle="1" w:styleId="20">
    <w:name w:val="页脚 字符"/>
    <w:basedOn w:val="18"/>
    <w:link w:val="13"/>
    <w:qFormat/>
    <w:uiPriority w:val="99"/>
    <w:rPr>
      <w:sz w:val="18"/>
      <w:szCs w:val="18"/>
    </w:rPr>
  </w:style>
  <w:style w:type="character" w:customStyle="1" w:styleId="21">
    <w:name w:val="批注框文本 字符"/>
    <w:basedOn w:val="18"/>
    <w:link w:val="12"/>
    <w:qFormat/>
    <w:uiPriority w:val="99"/>
    <w:rPr>
      <w:sz w:val="18"/>
      <w:szCs w:val="18"/>
    </w:rPr>
  </w:style>
  <w:style w:type="character" w:customStyle="1" w:styleId="22">
    <w:name w:val="文档结构图 字符"/>
    <w:basedOn w:val="18"/>
    <w:link w:val="6"/>
    <w:qFormat/>
    <w:uiPriority w:val="99"/>
    <w:rPr>
      <w:rFonts w:ascii="宋体" w:eastAsia="宋体"/>
      <w:sz w:val="18"/>
      <w:szCs w:val="18"/>
    </w:rPr>
  </w:style>
  <w:style w:type="character" w:customStyle="1" w:styleId="23">
    <w:name w:val="正文文本 字符"/>
    <w:basedOn w:val="18"/>
    <w:link w:val="8"/>
    <w:qFormat/>
    <w:uiPriority w:val="0"/>
    <w:rPr>
      <w:rFonts w:cs="Calibri"/>
      <w:kern w:val="2"/>
      <w:sz w:val="28"/>
      <w:szCs w:val="24"/>
    </w:rPr>
  </w:style>
  <w:style w:type="character" w:customStyle="1" w:styleId="24">
    <w:name w:val="正文文本缩进 字符"/>
    <w:basedOn w:val="18"/>
    <w:link w:val="9"/>
    <w:qFormat/>
    <w:uiPriority w:val="0"/>
    <w:rPr>
      <w:rFonts w:cs="Calibri"/>
      <w:kern w:val="2"/>
      <w:sz w:val="28"/>
      <w:szCs w:val="22"/>
    </w:rPr>
  </w:style>
  <w:style w:type="paragraph" w:customStyle="1" w:styleId="25">
    <w:name w:val="null3"/>
    <w:qFormat/>
    <w:uiPriority w:val="0"/>
    <w:rPr>
      <w:rFonts w:hint="eastAsia" w:ascii="Calibri" w:hAnsi="Calibri" w:eastAsia="宋体" w:cs="Times New Roman"/>
      <w:lang w:val="en-US" w:eastAsia="zh-Hans" w:bidi="ar-SA"/>
    </w:rPr>
  </w:style>
  <w:style w:type="character" w:customStyle="1" w:styleId="26">
    <w:name w:val="font31"/>
    <w:basedOn w:val="18"/>
    <w:qFormat/>
    <w:uiPriority w:val="0"/>
    <w:rPr>
      <w:rFonts w:hint="eastAsia" w:ascii="仿宋" w:hAnsi="仿宋" w:eastAsia="仿宋" w:cs="仿宋"/>
      <w:b/>
      <w:bCs/>
      <w:color w:val="000000"/>
      <w:sz w:val="32"/>
      <w:szCs w:val="32"/>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6</Pages>
  <Words>3902</Words>
  <Characters>4139</Characters>
  <Lines>291</Lines>
  <Paragraphs>145</Paragraphs>
  <TotalTime>75</TotalTime>
  <ScaleCrop>false</ScaleCrop>
  <LinksUpToDate>false</LinksUpToDate>
  <CharactersWithSpaces>4154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2022-07-01T15:49:00Z</dcterms:created>
  <dc:creator>China</dc:creator>
  <cp:lastModifiedBy>全村的希望</cp:lastModifiedBy>
  <cp:lastPrinted>2026-09-15T07:55:00Z</cp:lastPrinted>
  <dcterms:modified xsi:type="dcterms:W3CDTF">2026-09-22T08:57:33Z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D3AF83A27EF149DA99C786D092CFCC4A_13</vt:lpwstr>
  </property>
  <property fmtid="{D5CDD505-2E9C-101B-9397-08002B2CF9AE}" pid="4" name="KSOTemplateDocerSaveRecord">
    <vt:lpwstr>eyJoZGlkIjoiZTA5YTA4NzQwYTBiZWYxMWM0NzQ1NWYxMDk5ZjU3NjYiLCJ1c2VySWQiOiIzNzY5NzkzMzgifQ==</vt:lpwstr>
  </property>
</Properties>
</file>