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spacing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第三分公司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 w:cs="仿宋"/>
          <w:sz w:val="28"/>
          <w:szCs w:val="28"/>
        </w:rPr>
        <w:t>名称）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>
      <w:pPr>
        <w:widowControl w:val="0"/>
        <w:wordWrap w:val="0"/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(身份证号码）授权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亭子口灌区一期工程总承包（EPC）第Ⅰ标混凝土搅拌车租赁</w:t>
      </w:r>
      <w:r>
        <w:rPr>
          <w:rFonts w:hint="eastAsia" w:ascii="仿宋" w:hAnsi="仿宋" w:eastAsia="仿宋" w:cs="仿宋"/>
          <w:sz w:val="28"/>
          <w:szCs w:val="28"/>
          <w:u w:val="single"/>
        </w:rPr>
        <w:t>项目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</w:rPr>
        <w:t>活动的合法特别授权代表，以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</w:rPr>
        <w:t>名义全权处理该采购项目有关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</w:rPr>
        <w:t>、谈判、签订及履行合同等一切相关事宜。该特别授权代表所签署的文件、资料和谈判过程中所作的表态等我单位均予以认可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承担。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   选   人：（公章）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widowControl w:val="0"/>
        <w:spacing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 系  电  话：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spacing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ZTU3YmVhNGI2NzBjM2FmZmUzODczNjIyNGI5MmQifQ=="/>
  </w:docVars>
  <w:rsids>
    <w:rsidRoot w:val="1C665C65"/>
    <w:rsid w:val="1C66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widowControl w:val="0"/>
      <w:tabs>
        <w:tab w:val="left" w:pos="315"/>
      </w:tabs>
      <w:spacing w:after="120" w:afterLines="0" w:line="440" w:lineRule="atLeast"/>
      <w:ind w:left="420" w:leftChars="200" w:firstLine="420" w:firstLineChars="200"/>
      <w:jc w:val="both"/>
    </w:pPr>
    <w:rPr>
      <w:rFonts w:ascii="仿宋_GB2312" w:hAnsi="Calibri" w:eastAsia="仿宋_GB2312" w:cs="黑体"/>
      <w:kern w:val="2"/>
      <w:sz w:val="28"/>
      <w:szCs w:val="24"/>
      <w:lang w:val="en-US" w:eastAsia="zh-CN"/>
    </w:rPr>
  </w:style>
  <w:style w:type="paragraph" w:customStyle="1" w:styleId="3">
    <w:name w:val="Body Text Indent1"/>
    <w:basedOn w:val="1"/>
    <w:qFormat/>
    <w:uiPriority w:val="0"/>
    <w:pPr>
      <w:tabs>
        <w:tab w:val="left" w:pos="315"/>
      </w:tabs>
      <w:spacing w:line="360" w:lineRule="auto"/>
      <w:ind w:firstLine="45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2024-06-13T08:07:00Z</dcterms:created>
  <dc:creator>旧念</dc:creator>
  <cp:lastModifiedBy>旧念</cp:lastModifiedBy>
  <dcterms:modified xsi:type="dcterms:W3CDTF">2024-06-13T08:08:35Z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7B8502D79D48496ABCE65F134B645C9B_11</vt:lpwstr>
  </property>
</Properties>
</file>